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4C" w:rsidRPr="001F12DF" w:rsidRDefault="00B46B4C" w:rsidP="001F12DF">
      <w:pPr>
        <w:pStyle w:val="Default"/>
        <w:spacing w:line="360" w:lineRule="auto"/>
        <w:jc w:val="both"/>
        <w:rPr>
          <w:sz w:val="20"/>
          <w:szCs w:val="20"/>
        </w:rPr>
      </w:pPr>
    </w:p>
    <w:p w:rsidR="00B46B4C" w:rsidRPr="001F12DF" w:rsidRDefault="00B46B4C" w:rsidP="001F12DF">
      <w:pPr>
        <w:pStyle w:val="Default"/>
        <w:spacing w:line="360" w:lineRule="auto"/>
        <w:jc w:val="center"/>
        <w:rPr>
          <w:szCs w:val="20"/>
        </w:rPr>
      </w:pPr>
      <w:r w:rsidRPr="001F12DF">
        <w:rPr>
          <w:b/>
          <w:bCs/>
          <w:szCs w:val="20"/>
        </w:rPr>
        <w:t>CADERNO DE ENCARGOS</w:t>
      </w:r>
    </w:p>
    <w:p w:rsidR="00B46B4C" w:rsidRPr="001F12DF" w:rsidRDefault="00002342" w:rsidP="001F12DF">
      <w:pPr>
        <w:pStyle w:val="Default"/>
        <w:spacing w:line="360" w:lineRule="auto"/>
        <w:jc w:val="center"/>
        <w:rPr>
          <w:sz w:val="20"/>
          <w:szCs w:val="20"/>
        </w:rPr>
      </w:pPr>
      <w:r>
        <w:rPr>
          <w:b/>
          <w:bCs/>
          <w:sz w:val="20"/>
          <w:szCs w:val="20"/>
        </w:rPr>
        <w:t>Relativo ao p</w:t>
      </w:r>
      <w:r w:rsidR="00B46B4C" w:rsidRPr="001F12DF">
        <w:rPr>
          <w:b/>
          <w:bCs/>
          <w:sz w:val="20"/>
          <w:szCs w:val="20"/>
        </w:rPr>
        <w:t xml:space="preserve">rocedimento de Concurso </w:t>
      </w:r>
      <w:r w:rsidR="00340A30" w:rsidRPr="001F12DF">
        <w:rPr>
          <w:b/>
          <w:bCs/>
          <w:sz w:val="20"/>
          <w:szCs w:val="20"/>
        </w:rPr>
        <w:t>N</w:t>
      </w:r>
      <w:r w:rsidR="00B46B4C" w:rsidRPr="001F12DF">
        <w:rPr>
          <w:b/>
          <w:bCs/>
          <w:sz w:val="20"/>
          <w:szCs w:val="20"/>
        </w:rPr>
        <w:t>.º 001/201</w:t>
      </w:r>
      <w:r w:rsidR="00C2672A" w:rsidRPr="001F12DF">
        <w:rPr>
          <w:b/>
          <w:bCs/>
          <w:sz w:val="20"/>
          <w:szCs w:val="20"/>
        </w:rPr>
        <w:t>9</w:t>
      </w:r>
    </w:p>
    <w:p w:rsidR="00002342" w:rsidRDefault="00B46B4C" w:rsidP="001F12DF">
      <w:pPr>
        <w:pStyle w:val="Default"/>
        <w:spacing w:line="360" w:lineRule="auto"/>
        <w:jc w:val="center"/>
        <w:rPr>
          <w:b/>
          <w:bCs/>
          <w:sz w:val="20"/>
          <w:szCs w:val="20"/>
        </w:rPr>
      </w:pPr>
      <w:r w:rsidRPr="001F12DF">
        <w:rPr>
          <w:b/>
          <w:bCs/>
          <w:sz w:val="20"/>
          <w:szCs w:val="20"/>
        </w:rPr>
        <w:t>Serviços de formação e consultoria formativa, recorrendo à meto</w:t>
      </w:r>
      <w:r w:rsidR="00081845">
        <w:rPr>
          <w:b/>
          <w:bCs/>
          <w:sz w:val="20"/>
          <w:szCs w:val="20"/>
        </w:rPr>
        <w:t xml:space="preserve">dologia </w:t>
      </w:r>
      <w:proofErr w:type="spellStart"/>
      <w:r w:rsidR="00081845">
        <w:rPr>
          <w:b/>
          <w:bCs/>
          <w:sz w:val="20"/>
          <w:szCs w:val="20"/>
        </w:rPr>
        <w:t>Formação-Acção</w:t>
      </w:r>
      <w:proofErr w:type="spellEnd"/>
      <w:r w:rsidR="00081845">
        <w:rPr>
          <w:b/>
          <w:bCs/>
          <w:sz w:val="20"/>
          <w:szCs w:val="20"/>
        </w:rPr>
        <w:t xml:space="preserve"> para </w:t>
      </w:r>
      <w:proofErr w:type="spellStart"/>
      <w:r w:rsidR="00081845">
        <w:rPr>
          <w:b/>
          <w:bCs/>
          <w:sz w:val="20"/>
          <w:szCs w:val="20"/>
        </w:rPr>
        <w:t>PME’</w:t>
      </w:r>
      <w:r w:rsidRPr="001F12DF">
        <w:rPr>
          <w:b/>
          <w:bCs/>
          <w:sz w:val="20"/>
          <w:szCs w:val="20"/>
        </w:rPr>
        <w:t>s</w:t>
      </w:r>
      <w:proofErr w:type="spellEnd"/>
      <w:r w:rsidRPr="001F12DF">
        <w:rPr>
          <w:b/>
          <w:bCs/>
          <w:sz w:val="20"/>
          <w:szCs w:val="20"/>
        </w:rPr>
        <w:t xml:space="preserve"> </w:t>
      </w:r>
      <w:r w:rsidR="00C2672A" w:rsidRPr="001F12DF">
        <w:rPr>
          <w:b/>
          <w:bCs/>
          <w:sz w:val="20"/>
          <w:szCs w:val="20"/>
        </w:rPr>
        <w:t>2º Ciclo,</w:t>
      </w:r>
    </w:p>
    <w:p w:rsidR="00002342" w:rsidRPr="004D225D" w:rsidRDefault="00002342" w:rsidP="00002342">
      <w:pPr>
        <w:pStyle w:val="Default"/>
        <w:spacing w:line="360" w:lineRule="auto"/>
        <w:ind w:left="708"/>
        <w:jc w:val="both"/>
        <w:rPr>
          <w:b/>
          <w:bCs/>
          <w:sz w:val="20"/>
          <w:szCs w:val="20"/>
        </w:rPr>
      </w:pPr>
      <w:r>
        <w:rPr>
          <w:b/>
          <w:bCs/>
          <w:sz w:val="20"/>
          <w:szCs w:val="20"/>
        </w:rPr>
        <w:t>. N</w:t>
      </w:r>
      <w:r w:rsidR="00B46B4C" w:rsidRPr="001F12DF">
        <w:rPr>
          <w:b/>
          <w:bCs/>
          <w:sz w:val="20"/>
          <w:szCs w:val="20"/>
        </w:rPr>
        <w:t xml:space="preserve">o âmbito do Projeto </w:t>
      </w:r>
      <w:r>
        <w:rPr>
          <w:b/>
          <w:bCs/>
          <w:sz w:val="20"/>
          <w:szCs w:val="20"/>
        </w:rPr>
        <w:t>designado por</w:t>
      </w:r>
      <w:r w:rsidR="00563A05">
        <w:rPr>
          <w:b/>
          <w:bCs/>
          <w:sz w:val="20"/>
          <w:szCs w:val="20"/>
        </w:rPr>
        <w:t xml:space="preserve"> «</w:t>
      </w:r>
      <w:r w:rsidR="008C7E65">
        <w:rPr>
          <w:b/>
          <w:bCs/>
          <w:sz w:val="20"/>
          <w:szCs w:val="20"/>
        </w:rPr>
        <w:t>MOVE</w:t>
      </w:r>
      <w:r w:rsidR="00563A05">
        <w:rPr>
          <w:b/>
          <w:bCs/>
          <w:sz w:val="20"/>
          <w:szCs w:val="20"/>
        </w:rPr>
        <w:t xml:space="preserve"> PME»</w:t>
      </w:r>
      <w:r w:rsidR="00081845">
        <w:rPr>
          <w:b/>
          <w:bCs/>
          <w:sz w:val="20"/>
          <w:szCs w:val="20"/>
        </w:rPr>
        <w:t>, identificado com o</w:t>
      </w:r>
      <w:r>
        <w:rPr>
          <w:b/>
          <w:bCs/>
          <w:sz w:val="20"/>
          <w:szCs w:val="20"/>
        </w:rPr>
        <w:t xml:space="preserve"> </w:t>
      </w:r>
      <w:r w:rsidR="00081845">
        <w:rPr>
          <w:b/>
          <w:bCs/>
          <w:sz w:val="20"/>
          <w:szCs w:val="20"/>
        </w:rPr>
        <w:t>nº </w:t>
      </w:r>
      <w:r w:rsidR="00B46B4C" w:rsidRPr="001F12DF">
        <w:rPr>
          <w:b/>
          <w:bCs/>
          <w:sz w:val="20"/>
          <w:szCs w:val="20"/>
        </w:rPr>
        <w:t>POCI-03-3560-FSE-</w:t>
      </w:r>
      <w:r w:rsidR="00B46B4C" w:rsidRPr="004D225D">
        <w:rPr>
          <w:b/>
          <w:bCs/>
          <w:color w:val="auto"/>
          <w:sz w:val="20"/>
          <w:szCs w:val="20"/>
        </w:rPr>
        <w:t>000</w:t>
      </w:r>
      <w:r w:rsidR="00563A05">
        <w:rPr>
          <w:b/>
          <w:bCs/>
          <w:color w:val="auto"/>
          <w:sz w:val="20"/>
          <w:szCs w:val="20"/>
        </w:rPr>
        <w:t>7</w:t>
      </w:r>
      <w:r w:rsidR="008C7E65">
        <w:rPr>
          <w:b/>
          <w:bCs/>
          <w:color w:val="auto"/>
          <w:sz w:val="20"/>
          <w:szCs w:val="20"/>
        </w:rPr>
        <w:t>96</w:t>
      </w:r>
      <w:r w:rsidR="00B46B4C" w:rsidRPr="004D225D">
        <w:rPr>
          <w:b/>
          <w:bCs/>
          <w:sz w:val="20"/>
          <w:szCs w:val="20"/>
        </w:rPr>
        <w:t xml:space="preserve">, </w:t>
      </w:r>
      <w:r w:rsidR="009D05EA" w:rsidRPr="004D225D">
        <w:rPr>
          <w:b/>
          <w:bCs/>
          <w:sz w:val="20"/>
          <w:szCs w:val="20"/>
        </w:rPr>
        <w:t xml:space="preserve">(Lote 1) </w:t>
      </w:r>
      <w:r w:rsidR="00B46B4C" w:rsidRPr="004D225D">
        <w:rPr>
          <w:b/>
          <w:bCs/>
          <w:sz w:val="20"/>
          <w:szCs w:val="20"/>
        </w:rPr>
        <w:t>apresentado ao Programa Operacional Competitividade e Internacionalização</w:t>
      </w:r>
      <w:r w:rsidR="007B4A3A" w:rsidRPr="004D225D">
        <w:rPr>
          <w:b/>
          <w:bCs/>
          <w:sz w:val="20"/>
          <w:szCs w:val="20"/>
        </w:rPr>
        <w:t xml:space="preserve"> Compete 2020</w:t>
      </w:r>
      <w:r w:rsidR="00B46B4C" w:rsidRPr="004D225D">
        <w:rPr>
          <w:b/>
          <w:bCs/>
          <w:sz w:val="20"/>
          <w:szCs w:val="20"/>
        </w:rPr>
        <w:t>, nos termos do</w:t>
      </w:r>
      <w:r w:rsidRPr="004D225D">
        <w:rPr>
          <w:b/>
          <w:bCs/>
          <w:sz w:val="20"/>
          <w:szCs w:val="20"/>
        </w:rPr>
        <w:t xml:space="preserve"> </w:t>
      </w:r>
      <w:r w:rsidR="00B46B4C" w:rsidRPr="004D225D">
        <w:rPr>
          <w:b/>
          <w:bCs/>
          <w:sz w:val="20"/>
          <w:szCs w:val="20"/>
        </w:rPr>
        <w:t>Aviso nº</w:t>
      </w:r>
      <w:r w:rsidR="00563A05">
        <w:rPr>
          <w:b/>
          <w:bCs/>
          <w:sz w:val="20"/>
          <w:szCs w:val="20"/>
        </w:rPr>
        <w:t xml:space="preserve"> 0</w:t>
      </w:r>
      <w:r w:rsidR="008C7E65">
        <w:rPr>
          <w:b/>
          <w:bCs/>
          <w:sz w:val="20"/>
          <w:szCs w:val="20"/>
        </w:rPr>
        <w:t>9</w:t>
      </w:r>
      <w:r w:rsidR="00B46B4C" w:rsidRPr="004D225D">
        <w:rPr>
          <w:b/>
          <w:bCs/>
          <w:sz w:val="20"/>
          <w:szCs w:val="20"/>
        </w:rPr>
        <w:t>/SI/20</w:t>
      </w:r>
      <w:r w:rsidR="00FD0075" w:rsidRPr="004D225D">
        <w:rPr>
          <w:b/>
          <w:bCs/>
          <w:sz w:val="20"/>
          <w:szCs w:val="20"/>
        </w:rPr>
        <w:t>19</w:t>
      </w:r>
      <w:r w:rsidRPr="004D225D">
        <w:rPr>
          <w:b/>
          <w:bCs/>
          <w:sz w:val="20"/>
          <w:szCs w:val="20"/>
        </w:rPr>
        <w:t>,</w:t>
      </w:r>
    </w:p>
    <w:p w:rsidR="00B46B4C" w:rsidRPr="004D225D" w:rsidRDefault="009D05EA" w:rsidP="00002342">
      <w:pPr>
        <w:pStyle w:val="Default"/>
        <w:spacing w:line="360" w:lineRule="auto"/>
        <w:ind w:left="708"/>
        <w:jc w:val="both"/>
        <w:rPr>
          <w:sz w:val="20"/>
          <w:szCs w:val="20"/>
        </w:rPr>
      </w:pPr>
      <w:r w:rsidRPr="004D225D">
        <w:rPr>
          <w:b/>
          <w:bCs/>
          <w:sz w:val="20"/>
          <w:szCs w:val="20"/>
        </w:rPr>
        <w:t xml:space="preserve"> </w:t>
      </w:r>
      <w:proofErr w:type="gramStart"/>
      <w:r w:rsidR="00002342" w:rsidRPr="004D225D">
        <w:rPr>
          <w:b/>
          <w:bCs/>
          <w:sz w:val="20"/>
          <w:szCs w:val="20"/>
        </w:rPr>
        <w:t>e</w:t>
      </w:r>
      <w:proofErr w:type="gramEnd"/>
    </w:p>
    <w:p w:rsidR="009D05EA" w:rsidRPr="001F12DF" w:rsidRDefault="00002342" w:rsidP="00002342">
      <w:pPr>
        <w:pStyle w:val="Default"/>
        <w:spacing w:line="360" w:lineRule="auto"/>
        <w:ind w:left="708"/>
        <w:jc w:val="both"/>
        <w:rPr>
          <w:sz w:val="20"/>
          <w:szCs w:val="20"/>
        </w:rPr>
      </w:pPr>
      <w:r w:rsidRPr="004D225D">
        <w:rPr>
          <w:b/>
          <w:bCs/>
          <w:sz w:val="20"/>
          <w:szCs w:val="20"/>
        </w:rPr>
        <w:t>. N</w:t>
      </w:r>
      <w:r w:rsidR="009D05EA" w:rsidRPr="004D225D">
        <w:rPr>
          <w:b/>
          <w:bCs/>
          <w:sz w:val="20"/>
          <w:szCs w:val="20"/>
        </w:rPr>
        <w:t xml:space="preserve">o âmbito do Projeto </w:t>
      </w:r>
      <w:r w:rsidRPr="004D225D">
        <w:rPr>
          <w:b/>
          <w:bCs/>
          <w:sz w:val="20"/>
          <w:szCs w:val="20"/>
        </w:rPr>
        <w:t xml:space="preserve">designado por </w:t>
      </w:r>
      <w:r w:rsidR="00563A05">
        <w:rPr>
          <w:b/>
          <w:bCs/>
          <w:sz w:val="20"/>
          <w:szCs w:val="20"/>
        </w:rPr>
        <w:t>«DINAMIZAR»</w:t>
      </w:r>
      <w:r w:rsidR="009D05EA" w:rsidRPr="004D225D">
        <w:rPr>
          <w:b/>
          <w:bCs/>
          <w:sz w:val="20"/>
          <w:szCs w:val="20"/>
        </w:rPr>
        <w:t>, identificado com o nº POCI-03-3560-FSE-000</w:t>
      </w:r>
      <w:r w:rsidR="00DD0712">
        <w:rPr>
          <w:b/>
          <w:bCs/>
          <w:sz w:val="20"/>
          <w:szCs w:val="20"/>
        </w:rPr>
        <w:t>7</w:t>
      </w:r>
      <w:r w:rsidR="008C7E65">
        <w:rPr>
          <w:b/>
          <w:bCs/>
          <w:sz w:val="20"/>
          <w:szCs w:val="20"/>
        </w:rPr>
        <w:t>94</w:t>
      </w:r>
      <w:r w:rsidR="009D05EA" w:rsidRPr="004D225D">
        <w:rPr>
          <w:b/>
          <w:bCs/>
          <w:sz w:val="20"/>
          <w:szCs w:val="20"/>
        </w:rPr>
        <w:t>, apresentado ao Programa Operacional Competitividade e Internacionalização Compete</w:t>
      </w:r>
      <w:r w:rsidR="009D05EA">
        <w:rPr>
          <w:b/>
          <w:bCs/>
          <w:sz w:val="20"/>
          <w:szCs w:val="20"/>
        </w:rPr>
        <w:t xml:space="preserve"> 2020</w:t>
      </w:r>
      <w:r w:rsidR="009D05EA" w:rsidRPr="001F12DF">
        <w:rPr>
          <w:b/>
          <w:bCs/>
          <w:sz w:val="20"/>
          <w:szCs w:val="20"/>
        </w:rPr>
        <w:t>, nos termos do Aviso nº1</w:t>
      </w:r>
      <w:r w:rsidR="00563A05">
        <w:rPr>
          <w:b/>
          <w:bCs/>
          <w:sz w:val="20"/>
          <w:szCs w:val="20"/>
        </w:rPr>
        <w:t>1</w:t>
      </w:r>
      <w:r w:rsidR="009D05EA" w:rsidRPr="001F12DF">
        <w:rPr>
          <w:b/>
          <w:bCs/>
          <w:sz w:val="20"/>
          <w:szCs w:val="20"/>
        </w:rPr>
        <w:t>/SI/2019</w:t>
      </w:r>
      <w:r>
        <w:rPr>
          <w:b/>
          <w:bCs/>
          <w:sz w:val="20"/>
          <w:szCs w:val="20"/>
        </w:rPr>
        <w:t>.</w:t>
      </w:r>
    </w:p>
    <w:p w:rsidR="009D05EA" w:rsidRPr="001F12DF" w:rsidRDefault="009D05EA" w:rsidP="00002342">
      <w:pPr>
        <w:pStyle w:val="Default"/>
        <w:spacing w:line="360" w:lineRule="auto"/>
        <w:jc w:val="both"/>
        <w:rPr>
          <w:b/>
          <w:bCs/>
          <w:sz w:val="20"/>
          <w:szCs w:val="20"/>
        </w:rPr>
      </w:pPr>
    </w:p>
    <w:p w:rsidR="00FD0075" w:rsidRPr="001F12DF" w:rsidRDefault="00FD0075" w:rsidP="001F12DF">
      <w:pPr>
        <w:pStyle w:val="Default"/>
        <w:spacing w:line="360" w:lineRule="auto"/>
        <w:jc w:val="both"/>
        <w:rPr>
          <w:b/>
          <w:bCs/>
          <w:sz w:val="20"/>
          <w:szCs w:val="20"/>
        </w:rPr>
      </w:pPr>
    </w:p>
    <w:p w:rsidR="00B46B4C" w:rsidRPr="001F12DF" w:rsidRDefault="00B46B4C" w:rsidP="001F12DF">
      <w:pPr>
        <w:pStyle w:val="Default"/>
        <w:spacing w:line="360" w:lineRule="auto"/>
        <w:jc w:val="center"/>
        <w:rPr>
          <w:sz w:val="20"/>
          <w:szCs w:val="20"/>
        </w:rPr>
      </w:pPr>
      <w:r w:rsidRPr="001F12DF">
        <w:rPr>
          <w:b/>
          <w:bCs/>
          <w:sz w:val="20"/>
          <w:szCs w:val="20"/>
        </w:rPr>
        <w:t>Capítulo I</w:t>
      </w:r>
    </w:p>
    <w:p w:rsidR="00B46B4C" w:rsidRDefault="00B46B4C" w:rsidP="001F12DF">
      <w:pPr>
        <w:pStyle w:val="Default"/>
        <w:spacing w:line="360" w:lineRule="auto"/>
        <w:jc w:val="center"/>
        <w:rPr>
          <w:b/>
          <w:bCs/>
          <w:sz w:val="20"/>
          <w:szCs w:val="20"/>
        </w:rPr>
      </w:pPr>
      <w:r w:rsidRPr="001F12DF">
        <w:rPr>
          <w:b/>
          <w:bCs/>
          <w:sz w:val="20"/>
          <w:szCs w:val="20"/>
        </w:rPr>
        <w:t>Objecto do contrato</w:t>
      </w:r>
    </w:p>
    <w:p w:rsidR="00081845" w:rsidRPr="001F12DF" w:rsidRDefault="00081845" w:rsidP="001F12DF">
      <w:pPr>
        <w:pStyle w:val="Default"/>
        <w:spacing w:line="360" w:lineRule="auto"/>
        <w:jc w:val="center"/>
        <w:rPr>
          <w:sz w:val="20"/>
          <w:szCs w:val="20"/>
        </w:rPr>
      </w:pPr>
    </w:p>
    <w:p w:rsidR="00B46B4C" w:rsidRPr="001F12DF" w:rsidRDefault="00B46B4C" w:rsidP="00081845">
      <w:pPr>
        <w:pStyle w:val="Default"/>
        <w:spacing w:line="360" w:lineRule="auto"/>
        <w:jc w:val="center"/>
        <w:rPr>
          <w:b/>
          <w:sz w:val="20"/>
          <w:szCs w:val="20"/>
        </w:rPr>
      </w:pPr>
      <w:r w:rsidRPr="001F12DF">
        <w:rPr>
          <w:b/>
          <w:sz w:val="20"/>
          <w:szCs w:val="20"/>
        </w:rPr>
        <w:t>Cláusula 1.ª</w:t>
      </w:r>
    </w:p>
    <w:p w:rsidR="00B46B4C" w:rsidRPr="001F12DF" w:rsidRDefault="00B46B4C" w:rsidP="00081845">
      <w:pPr>
        <w:pStyle w:val="Default"/>
        <w:spacing w:line="360" w:lineRule="auto"/>
        <w:jc w:val="center"/>
        <w:rPr>
          <w:b/>
          <w:sz w:val="20"/>
          <w:szCs w:val="20"/>
        </w:rPr>
      </w:pPr>
      <w:r w:rsidRPr="001F12DF">
        <w:rPr>
          <w:b/>
          <w:sz w:val="20"/>
          <w:szCs w:val="20"/>
        </w:rPr>
        <w:t>Objeto</w:t>
      </w:r>
    </w:p>
    <w:p w:rsidR="001F12DF" w:rsidRPr="001F12DF" w:rsidRDefault="00B46B4C" w:rsidP="001F12DF">
      <w:pPr>
        <w:pStyle w:val="Default"/>
        <w:spacing w:line="360" w:lineRule="auto"/>
        <w:jc w:val="both"/>
        <w:rPr>
          <w:sz w:val="20"/>
          <w:szCs w:val="20"/>
        </w:rPr>
      </w:pPr>
      <w:r w:rsidRPr="001F12DF">
        <w:rPr>
          <w:sz w:val="20"/>
          <w:szCs w:val="20"/>
        </w:rPr>
        <w:t xml:space="preserve">O presente caderno de encargos compreende as cláusulas a incluir no contrato a celebrar na sequência do procedimento contratual de Concurso supra mencionado, </w:t>
      </w:r>
      <w:r w:rsidR="00FD0075" w:rsidRPr="001F12DF">
        <w:rPr>
          <w:sz w:val="20"/>
          <w:szCs w:val="20"/>
        </w:rPr>
        <w:t xml:space="preserve">levado a cabo pela </w:t>
      </w:r>
      <w:r w:rsidR="00DD0712" w:rsidRPr="00DD0712">
        <w:rPr>
          <w:b/>
          <w:color w:val="auto"/>
          <w:sz w:val="20"/>
          <w:szCs w:val="20"/>
        </w:rPr>
        <w:t xml:space="preserve">Associação </w:t>
      </w:r>
      <w:r w:rsidR="008C7E65">
        <w:rPr>
          <w:b/>
          <w:color w:val="auto"/>
          <w:sz w:val="20"/>
          <w:szCs w:val="20"/>
        </w:rPr>
        <w:t xml:space="preserve">do </w:t>
      </w:r>
      <w:r w:rsidR="00DD0712" w:rsidRPr="00DD0712">
        <w:rPr>
          <w:b/>
          <w:color w:val="auto"/>
          <w:sz w:val="20"/>
          <w:szCs w:val="20"/>
        </w:rPr>
        <w:t>Comerci</w:t>
      </w:r>
      <w:r w:rsidR="008C7E65">
        <w:rPr>
          <w:b/>
          <w:color w:val="auto"/>
          <w:sz w:val="20"/>
          <w:szCs w:val="20"/>
        </w:rPr>
        <w:t>o, Serviços e Turismo do Distrito de Beja</w:t>
      </w:r>
      <w:r w:rsidR="00DD0712" w:rsidRPr="00DD0712">
        <w:rPr>
          <w:b/>
          <w:sz w:val="20"/>
          <w:szCs w:val="20"/>
        </w:rPr>
        <w:t xml:space="preserve"> </w:t>
      </w:r>
      <w:r w:rsidR="00563A05" w:rsidRPr="00DD0712">
        <w:rPr>
          <w:b/>
          <w:sz w:val="20"/>
          <w:szCs w:val="20"/>
        </w:rPr>
        <w:t>-</w:t>
      </w:r>
      <w:r w:rsidR="00563A05">
        <w:rPr>
          <w:b/>
          <w:sz w:val="20"/>
          <w:szCs w:val="20"/>
        </w:rPr>
        <w:t xml:space="preserve"> A</w:t>
      </w:r>
      <w:r w:rsidR="00DD0712">
        <w:rPr>
          <w:b/>
          <w:sz w:val="20"/>
          <w:szCs w:val="20"/>
        </w:rPr>
        <w:t>C</w:t>
      </w:r>
      <w:r w:rsidR="008C7E65">
        <w:rPr>
          <w:b/>
          <w:sz w:val="20"/>
          <w:szCs w:val="20"/>
        </w:rPr>
        <w:t>STDB</w:t>
      </w:r>
      <w:r w:rsidRPr="004D225D">
        <w:rPr>
          <w:sz w:val="20"/>
          <w:szCs w:val="20"/>
        </w:rPr>
        <w:t>, que tem por objeto a aquisição de serviços de formação e consultoria formativa a facultar à</w:t>
      </w:r>
      <w:r w:rsidR="008C7E65" w:rsidRPr="008C7E65">
        <w:rPr>
          <w:b/>
          <w:color w:val="auto"/>
          <w:sz w:val="20"/>
          <w:szCs w:val="20"/>
        </w:rPr>
        <w:t xml:space="preserve"> </w:t>
      </w:r>
      <w:r w:rsidR="008C7E65" w:rsidRPr="00DD0712">
        <w:rPr>
          <w:b/>
          <w:color w:val="auto"/>
          <w:sz w:val="20"/>
          <w:szCs w:val="20"/>
        </w:rPr>
        <w:t xml:space="preserve">Associação </w:t>
      </w:r>
      <w:r w:rsidR="008C7E65">
        <w:rPr>
          <w:b/>
          <w:color w:val="auto"/>
          <w:sz w:val="20"/>
          <w:szCs w:val="20"/>
        </w:rPr>
        <w:t xml:space="preserve">do </w:t>
      </w:r>
      <w:r w:rsidR="008C7E65" w:rsidRPr="00DD0712">
        <w:rPr>
          <w:b/>
          <w:color w:val="auto"/>
          <w:sz w:val="20"/>
          <w:szCs w:val="20"/>
        </w:rPr>
        <w:t>Comerci</w:t>
      </w:r>
      <w:r w:rsidR="008C7E65">
        <w:rPr>
          <w:b/>
          <w:color w:val="auto"/>
          <w:sz w:val="20"/>
          <w:szCs w:val="20"/>
        </w:rPr>
        <w:t>o, Serviços e Turismo do Distrito de Beja</w:t>
      </w:r>
      <w:r w:rsidR="008C7E65" w:rsidRPr="00DD0712">
        <w:rPr>
          <w:b/>
          <w:sz w:val="20"/>
          <w:szCs w:val="20"/>
        </w:rPr>
        <w:t xml:space="preserve"> -</w:t>
      </w:r>
      <w:r w:rsidR="008C7E65">
        <w:rPr>
          <w:b/>
          <w:sz w:val="20"/>
          <w:szCs w:val="20"/>
        </w:rPr>
        <w:t xml:space="preserve"> ACSTDB</w:t>
      </w:r>
      <w:r w:rsidRPr="004D225D">
        <w:rPr>
          <w:sz w:val="20"/>
          <w:szCs w:val="20"/>
        </w:rPr>
        <w:t xml:space="preserve">, enquanto entidade promotora no âmbito do </w:t>
      </w:r>
      <w:r w:rsidR="009D05EA" w:rsidRPr="004D225D">
        <w:rPr>
          <w:sz w:val="20"/>
          <w:szCs w:val="20"/>
        </w:rPr>
        <w:t xml:space="preserve">Projeto </w:t>
      </w:r>
      <w:r w:rsidR="00002342" w:rsidRPr="004D225D">
        <w:rPr>
          <w:sz w:val="20"/>
          <w:szCs w:val="20"/>
        </w:rPr>
        <w:t xml:space="preserve">designado por </w:t>
      </w:r>
      <w:r w:rsidR="008C7E65">
        <w:rPr>
          <w:sz w:val="20"/>
          <w:szCs w:val="20"/>
        </w:rPr>
        <w:t>MOVE</w:t>
      </w:r>
      <w:r w:rsidR="00563A05">
        <w:rPr>
          <w:sz w:val="20"/>
          <w:szCs w:val="20"/>
        </w:rPr>
        <w:t xml:space="preserve"> PME</w:t>
      </w:r>
      <w:r w:rsidR="009D05EA" w:rsidRPr="004D225D">
        <w:rPr>
          <w:sz w:val="20"/>
          <w:szCs w:val="20"/>
        </w:rPr>
        <w:t>, identificado com o nº POCI-03-3560-FSE-000</w:t>
      </w:r>
      <w:r w:rsidR="00563A05">
        <w:rPr>
          <w:sz w:val="20"/>
          <w:szCs w:val="20"/>
        </w:rPr>
        <w:t>7</w:t>
      </w:r>
      <w:r w:rsidR="008C7E65">
        <w:rPr>
          <w:sz w:val="20"/>
          <w:szCs w:val="20"/>
        </w:rPr>
        <w:t>96</w:t>
      </w:r>
      <w:r w:rsidR="009D05EA" w:rsidRPr="004D225D">
        <w:rPr>
          <w:sz w:val="20"/>
          <w:szCs w:val="20"/>
        </w:rPr>
        <w:t xml:space="preserve"> (</w:t>
      </w:r>
      <w:r w:rsidR="009D05EA" w:rsidRPr="004D225D">
        <w:rPr>
          <w:b/>
          <w:sz w:val="20"/>
          <w:szCs w:val="20"/>
        </w:rPr>
        <w:t>Lote 1</w:t>
      </w:r>
      <w:r w:rsidR="009D05EA" w:rsidRPr="004D225D">
        <w:rPr>
          <w:sz w:val="20"/>
          <w:szCs w:val="20"/>
        </w:rPr>
        <w:t>), apresentado ao Programa Operacional Competitividade e Internacionalização, nos termos do Aviso nº</w:t>
      </w:r>
      <w:r w:rsidR="00563A05">
        <w:rPr>
          <w:sz w:val="20"/>
          <w:szCs w:val="20"/>
        </w:rPr>
        <w:t>0</w:t>
      </w:r>
      <w:r w:rsidR="008C7E65">
        <w:rPr>
          <w:sz w:val="20"/>
          <w:szCs w:val="20"/>
        </w:rPr>
        <w:t>9</w:t>
      </w:r>
      <w:r w:rsidR="009D05EA" w:rsidRPr="004D225D">
        <w:rPr>
          <w:sz w:val="20"/>
          <w:szCs w:val="20"/>
        </w:rPr>
        <w:t xml:space="preserve">/SI/2019 – Projectos </w:t>
      </w:r>
      <w:proofErr w:type="spellStart"/>
      <w:r w:rsidR="009D05EA" w:rsidRPr="004D225D">
        <w:rPr>
          <w:sz w:val="20"/>
          <w:szCs w:val="20"/>
        </w:rPr>
        <w:t>Formação-Acção</w:t>
      </w:r>
      <w:proofErr w:type="spellEnd"/>
      <w:r w:rsidR="009D05EA" w:rsidRPr="004D225D">
        <w:rPr>
          <w:sz w:val="20"/>
          <w:szCs w:val="20"/>
        </w:rPr>
        <w:t xml:space="preserve"> – para PME – 2º Ciclo, que tem por organismo intermédio a </w:t>
      </w:r>
      <w:r w:rsidR="00563A05">
        <w:rPr>
          <w:sz w:val="20"/>
          <w:szCs w:val="20"/>
        </w:rPr>
        <w:t>A</w:t>
      </w:r>
      <w:r w:rsidR="008C7E65">
        <w:rPr>
          <w:sz w:val="20"/>
          <w:szCs w:val="20"/>
        </w:rPr>
        <w:t>I</w:t>
      </w:r>
      <w:r w:rsidR="00563A05">
        <w:rPr>
          <w:sz w:val="20"/>
          <w:szCs w:val="20"/>
        </w:rPr>
        <w:t>P</w:t>
      </w:r>
      <w:r w:rsidR="009D05EA" w:rsidRPr="004D225D">
        <w:rPr>
          <w:sz w:val="20"/>
          <w:szCs w:val="20"/>
        </w:rPr>
        <w:t xml:space="preserve">, </w:t>
      </w:r>
      <w:r w:rsidR="00563A05">
        <w:rPr>
          <w:sz w:val="20"/>
          <w:szCs w:val="20"/>
        </w:rPr>
        <w:t xml:space="preserve">Associação </w:t>
      </w:r>
      <w:r w:rsidR="008C7E65">
        <w:rPr>
          <w:sz w:val="20"/>
          <w:szCs w:val="20"/>
        </w:rPr>
        <w:t>Industrial</w:t>
      </w:r>
      <w:r w:rsidR="00563A05">
        <w:rPr>
          <w:sz w:val="20"/>
          <w:szCs w:val="20"/>
        </w:rPr>
        <w:t xml:space="preserve"> </w:t>
      </w:r>
      <w:r w:rsidR="009D05EA" w:rsidRPr="004D225D">
        <w:rPr>
          <w:sz w:val="20"/>
          <w:szCs w:val="20"/>
        </w:rPr>
        <w:t>Portug</w:t>
      </w:r>
      <w:r w:rsidR="008C7E65">
        <w:rPr>
          <w:sz w:val="20"/>
          <w:szCs w:val="20"/>
        </w:rPr>
        <w:t>uesa – CCI – Câmara de Comércio e Industria</w:t>
      </w:r>
      <w:r w:rsidR="009D05EA" w:rsidRPr="004D225D">
        <w:rPr>
          <w:sz w:val="20"/>
          <w:szCs w:val="20"/>
        </w:rPr>
        <w:t xml:space="preserve"> e o </w:t>
      </w:r>
      <w:r w:rsidRPr="004D225D">
        <w:rPr>
          <w:sz w:val="20"/>
          <w:szCs w:val="20"/>
        </w:rPr>
        <w:t xml:space="preserve">Projeto </w:t>
      </w:r>
      <w:r w:rsidR="00002342" w:rsidRPr="004D225D">
        <w:rPr>
          <w:sz w:val="20"/>
          <w:szCs w:val="20"/>
        </w:rPr>
        <w:t xml:space="preserve">designado por </w:t>
      </w:r>
      <w:r w:rsidR="00563A05">
        <w:rPr>
          <w:sz w:val="20"/>
          <w:szCs w:val="20"/>
        </w:rPr>
        <w:t>Dinamizar</w:t>
      </w:r>
      <w:r w:rsidRPr="004D225D">
        <w:rPr>
          <w:sz w:val="20"/>
          <w:szCs w:val="20"/>
        </w:rPr>
        <w:t>, identificado com o nº POCI-03-3560-FSE-000</w:t>
      </w:r>
      <w:r w:rsidR="00DD0712">
        <w:rPr>
          <w:sz w:val="20"/>
          <w:szCs w:val="20"/>
        </w:rPr>
        <w:t>7</w:t>
      </w:r>
      <w:r w:rsidR="008C7E65">
        <w:rPr>
          <w:sz w:val="20"/>
          <w:szCs w:val="20"/>
        </w:rPr>
        <w:t>94</w:t>
      </w:r>
      <w:r w:rsidRPr="004D225D">
        <w:rPr>
          <w:sz w:val="20"/>
          <w:szCs w:val="20"/>
        </w:rPr>
        <w:t xml:space="preserve">, </w:t>
      </w:r>
      <w:r w:rsidR="009D05EA" w:rsidRPr="004D225D">
        <w:rPr>
          <w:sz w:val="20"/>
          <w:szCs w:val="20"/>
        </w:rPr>
        <w:t>(</w:t>
      </w:r>
      <w:r w:rsidR="009D05EA" w:rsidRPr="004D225D">
        <w:rPr>
          <w:b/>
          <w:sz w:val="20"/>
          <w:szCs w:val="20"/>
        </w:rPr>
        <w:t>Lote 2</w:t>
      </w:r>
      <w:r w:rsidR="009D05EA" w:rsidRPr="004D225D">
        <w:rPr>
          <w:sz w:val="20"/>
          <w:szCs w:val="20"/>
        </w:rPr>
        <w:t xml:space="preserve">), </w:t>
      </w:r>
      <w:r w:rsidRPr="004D225D">
        <w:rPr>
          <w:sz w:val="20"/>
          <w:szCs w:val="20"/>
        </w:rPr>
        <w:t>apresentado ao Programa Operacional Competitividade e Internacionalização, nos termos do Aviso nº</w:t>
      </w:r>
      <w:r w:rsidR="002B4C34" w:rsidRPr="004D225D">
        <w:rPr>
          <w:sz w:val="20"/>
          <w:szCs w:val="20"/>
        </w:rPr>
        <w:t>1</w:t>
      </w:r>
      <w:r w:rsidR="00563A05">
        <w:rPr>
          <w:sz w:val="20"/>
          <w:szCs w:val="20"/>
        </w:rPr>
        <w:t>1</w:t>
      </w:r>
      <w:r w:rsidRPr="004D225D">
        <w:rPr>
          <w:sz w:val="20"/>
          <w:szCs w:val="20"/>
        </w:rPr>
        <w:t>/SI/201</w:t>
      </w:r>
      <w:r w:rsidR="002B4C34" w:rsidRPr="004D225D">
        <w:rPr>
          <w:sz w:val="20"/>
          <w:szCs w:val="20"/>
        </w:rPr>
        <w:t>9</w:t>
      </w:r>
      <w:r w:rsidRPr="004D225D">
        <w:rPr>
          <w:sz w:val="20"/>
          <w:szCs w:val="20"/>
        </w:rPr>
        <w:t xml:space="preserve"> – </w:t>
      </w:r>
      <w:r w:rsidR="002B4C34" w:rsidRPr="004D225D">
        <w:rPr>
          <w:sz w:val="20"/>
          <w:szCs w:val="20"/>
        </w:rPr>
        <w:t>Projectos</w:t>
      </w:r>
      <w:r w:rsidRPr="004D225D">
        <w:rPr>
          <w:sz w:val="20"/>
          <w:szCs w:val="20"/>
        </w:rPr>
        <w:t xml:space="preserve"> </w:t>
      </w:r>
      <w:proofErr w:type="spellStart"/>
      <w:r w:rsidRPr="004D225D">
        <w:rPr>
          <w:sz w:val="20"/>
          <w:szCs w:val="20"/>
        </w:rPr>
        <w:t>Formação-Acção</w:t>
      </w:r>
      <w:proofErr w:type="spellEnd"/>
      <w:r w:rsidRPr="004D225D">
        <w:rPr>
          <w:sz w:val="20"/>
          <w:szCs w:val="20"/>
        </w:rPr>
        <w:t xml:space="preserve"> </w:t>
      </w:r>
      <w:r w:rsidR="002B4C34" w:rsidRPr="004D225D">
        <w:rPr>
          <w:sz w:val="20"/>
          <w:szCs w:val="20"/>
        </w:rPr>
        <w:t>–</w:t>
      </w:r>
      <w:r w:rsidRPr="004D225D">
        <w:rPr>
          <w:sz w:val="20"/>
          <w:szCs w:val="20"/>
        </w:rPr>
        <w:t xml:space="preserve"> </w:t>
      </w:r>
      <w:r w:rsidR="002B4C34" w:rsidRPr="004D225D">
        <w:rPr>
          <w:sz w:val="20"/>
          <w:szCs w:val="20"/>
        </w:rPr>
        <w:t xml:space="preserve">para </w:t>
      </w:r>
      <w:r w:rsidRPr="004D225D">
        <w:rPr>
          <w:sz w:val="20"/>
          <w:szCs w:val="20"/>
        </w:rPr>
        <w:t>PME</w:t>
      </w:r>
      <w:r w:rsidR="002B4C34" w:rsidRPr="004D225D">
        <w:rPr>
          <w:sz w:val="20"/>
          <w:szCs w:val="20"/>
        </w:rPr>
        <w:t xml:space="preserve"> – 2º Ciclo</w:t>
      </w:r>
      <w:r w:rsidRPr="004D225D">
        <w:rPr>
          <w:sz w:val="20"/>
          <w:szCs w:val="20"/>
        </w:rPr>
        <w:t xml:space="preserve">, que tem por organismo intermédio o </w:t>
      </w:r>
      <w:r w:rsidR="00563A05">
        <w:rPr>
          <w:sz w:val="20"/>
          <w:szCs w:val="20"/>
        </w:rPr>
        <w:t xml:space="preserve">CCP </w:t>
      </w:r>
      <w:r w:rsidRPr="004D225D">
        <w:rPr>
          <w:sz w:val="20"/>
          <w:szCs w:val="20"/>
        </w:rPr>
        <w:t>– C</w:t>
      </w:r>
      <w:r w:rsidR="00340A30" w:rsidRPr="004D225D">
        <w:rPr>
          <w:sz w:val="20"/>
          <w:szCs w:val="20"/>
        </w:rPr>
        <w:t>on</w:t>
      </w:r>
      <w:r w:rsidR="00563A05">
        <w:rPr>
          <w:sz w:val="20"/>
          <w:szCs w:val="20"/>
        </w:rPr>
        <w:t>federação do Comércio e Serviços de Portugal</w:t>
      </w:r>
      <w:r w:rsidRPr="004D225D">
        <w:rPr>
          <w:sz w:val="20"/>
          <w:szCs w:val="20"/>
        </w:rPr>
        <w:t>.</w:t>
      </w:r>
      <w:r w:rsidRPr="001F12DF">
        <w:rPr>
          <w:sz w:val="20"/>
          <w:szCs w:val="20"/>
        </w:rPr>
        <w:t xml:space="preserve"> </w:t>
      </w:r>
    </w:p>
    <w:p w:rsidR="00B46B4C" w:rsidRDefault="00B46B4C" w:rsidP="001F12DF">
      <w:pPr>
        <w:pStyle w:val="Default"/>
        <w:spacing w:line="360" w:lineRule="auto"/>
        <w:jc w:val="both"/>
        <w:rPr>
          <w:sz w:val="20"/>
          <w:szCs w:val="20"/>
        </w:rPr>
      </w:pPr>
      <w:r w:rsidRPr="001F12DF">
        <w:rPr>
          <w:sz w:val="20"/>
          <w:szCs w:val="20"/>
        </w:rPr>
        <w:t xml:space="preserve">Fruto da legislação vigente aplicável aos projetos de formação ação, nos termos da ORIENTAÇÃO TÉCNICA N.º 2/2015 do Portugal 2020, os concorrentes devem ser possuidores de documento comprovativo da certificação/acreditação DGERT – Direcção Geral do Emprego e das Relações do Trabalho, ou equivalente, razão pela qual a mesma será exigida, já que para efeitos de apoios do FSE as entidades formadoras consideram-se certificadas quando a certificação tenha sido concedida ao abrigo do regime instituído pela Portaria n.º 851/2010, de </w:t>
      </w:r>
      <w:r w:rsidRPr="001F12DF">
        <w:rPr>
          <w:sz w:val="20"/>
          <w:szCs w:val="20"/>
        </w:rPr>
        <w:lastRenderedPageBreak/>
        <w:t xml:space="preserve">6 de setembro, alterada pela Portaria n.º 208/2013, de 26 de junho, com a exceção prevista no n.º 4 do art.º 12.º do Decreto-Lei n.º 159/2014, de 27 de outubro, com as alterações que lhe foram introduzidas pelo Decreto-Lei n.º 215/2015, de 6 de outubro. </w:t>
      </w:r>
    </w:p>
    <w:p w:rsidR="009B33F0" w:rsidRPr="001F12DF" w:rsidRDefault="009B33F0" w:rsidP="001F12DF">
      <w:pPr>
        <w:pStyle w:val="Default"/>
        <w:spacing w:line="360" w:lineRule="auto"/>
        <w:jc w:val="both"/>
        <w:rPr>
          <w:b/>
          <w:bCs/>
          <w:sz w:val="20"/>
          <w:szCs w:val="20"/>
        </w:rPr>
      </w:pPr>
      <w:r w:rsidRPr="001F12DF">
        <w:rPr>
          <w:b/>
          <w:bCs/>
          <w:sz w:val="20"/>
          <w:szCs w:val="20"/>
        </w:rPr>
        <w:t>Parágrafo Único:</w:t>
      </w:r>
    </w:p>
    <w:p w:rsidR="009B33F0" w:rsidRPr="00002342" w:rsidRDefault="009B33F0" w:rsidP="001F12DF">
      <w:pPr>
        <w:rPr>
          <w:rFonts w:cs="Arial"/>
          <w:sz w:val="20"/>
        </w:rPr>
      </w:pPr>
      <w:r w:rsidRPr="00002342">
        <w:rPr>
          <w:rFonts w:cs="Arial"/>
          <w:sz w:val="20"/>
        </w:rPr>
        <w:t xml:space="preserve">De acordo com as indicações superiores emanadas pelos </w:t>
      </w:r>
      <w:proofErr w:type="spellStart"/>
      <w:r w:rsidRPr="00002342">
        <w:rPr>
          <w:rFonts w:cs="Arial"/>
          <w:sz w:val="20"/>
        </w:rPr>
        <w:t>OI´s</w:t>
      </w:r>
      <w:proofErr w:type="spellEnd"/>
      <w:r w:rsidRPr="00002342">
        <w:rPr>
          <w:rFonts w:cs="Arial"/>
          <w:sz w:val="20"/>
        </w:rPr>
        <w:t xml:space="preserve">, a entidade adjudicante irá assegurar e evidenciar o cumprimento dos princípios gerais da contratação pública previstos no artigo 1º-A do Código dos Contratos Públicos (CCP), pelo que este procedimento e respectivo caderno de encargos adoptará subsidiariamente as regras vigentes </w:t>
      </w:r>
      <w:r w:rsidR="00F70EC1" w:rsidRPr="00002342">
        <w:rPr>
          <w:rFonts w:cs="Arial"/>
          <w:sz w:val="20"/>
        </w:rPr>
        <w:t xml:space="preserve">e aplicáveis segundo </w:t>
      </w:r>
      <w:r w:rsidRPr="00002342">
        <w:rPr>
          <w:rFonts w:cs="Arial"/>
          <w:sz w:val="20"/>
        </w:rPr>
        <w:t xml:space="preserve">o CCP.   </w:t>
      </w:r>
    </w:p>
    <w:p w:rsidR="009B33F0" w:rsidRPr="001F12DF" w:rsidRDefault="009B33F0" w:rsidP="001F12DF">
      <w:pPr>
        <w:pStyle w:val="Default"/>
        <w:spacing w:line="360" w:lineRule="auto"/>
        <w:jc w:val="both"/>
        <w:rPr>
          <w:sz w:val="20"/>
          <w:szCs w:val="20"/>
        </w:rPr>
      </w:pPr>
    </w:p>
    <w:p w:rsidR="00B46B4C" w:rsidRPr="001F12DF" w:rsidRDefault="00B46B4C" w:rsidP="001F12DF">
      <w:pPr>
        <w:pStyle w:val="Default"/>
        <w:spacing w:line="360" w:lineRule="auto"/>
        <w:jc w:val="center"/>
        <w:rPr>
          <w:b/>
          <w:sz w:val="20"/>
          <w:szCs w:val="20"/>
        </w:rPr>
      </w:pPr>
      <w:r w:rsidRPr="001F12DF">
        <w:rPr>
          <w:b/>
          <w:sz w:val="20"/>
          <w:szCs w:val="20"/>
        </w:rPr>
        <w:t>Cláusula 2.ª</w:t>
      </w:r>
    </w:p>
    <w:p w:rsidR="00B46B4C" w:rsidRPr="001F12DF" w:rsidRDefault="00B46B4C" w:rsidP="001F12DF">
      <w:pPr>
        <w:pStyle w:val="Default"/>
        <w:spacing w:line="360" w:lineRule="auto"/>
        <w:jc w:val="center"/>
        <w:rPr>
          <w:b/>
          <w:sz w:val="20"/>
          <w:szCs w:val="20"/>
        </w:rPr>
      </w:pPr>
      <w:r w:rsidRPr="001F12DF">
        <w:rPr>
          <w:b/>
          <w:sz w:val="20"/>
          <w:szCs w:val="20"/>
        </w:rPr>
        <w:t>Duração do contrato</w:t>
      </w:r>
    </w:p>
    <w:p w:rsidR="00B46B4C" w:rsidRPr="001F12DF" w:rsidRDefault="00B46B4C" w:rsidP="001F12DF">
      <w:pPr>
        <w:pStyle w:val="Default"/>
        <w:spacing w:line="360" w:lineRule="auto"/>
        <w:jc w:val="both"/>
        <w:rPr>
          <w:sz w:val="20"/>
          <w:szCs w:val="20"/>
        </w:rPr>
      </w:pPr>
      <w:r w:rsidRPr="001F12DF">
        <w:rPr>
          <w:sz w:val="20"/>
          <w:szCs w:val="20"/>
        </w:rPr>
        <w:t>As prestações constantes do</w:t>
      </w:r>
      <w:r w:rsidR="009D05EA">
        <w:rPr>
          <w:sz w:val="20"/>
          <w:szCs w:val="20"/>
        </w:rPr>
        <w:t>s</w:t>
      </w:r>
      <w:r w:rsidRPr="001F12DF">
        <w:rPr>
          <w:sz w:val="20"/>
          <w:szCs w:val="20"/>
        </w:rPr>
        <w:t xml:space="preserve"> contrato</w:t>
      </w:r>
      <w:r w:rsidR="009D05EA">
        <w:rPr>
          <w:sz w:val="20"/>
          <w:szCs w:val="20"/>
        </w:rPr>
        <w:t>s</w:t>
      </w:r>
      <w:r w:rsidRPr="001F12DF">
        <w:rPr>
          <w:sz w:val="20"/>
          <w:szCs w:val="20"/>
        </w:rPr>
        <w:t xml:space="preserve"> devem estar concluídas até </w:t>
      </w:r>
      <w:r w:rsidRPr="004D225D">
        <w:rPr>
          <w:sz w:val="20"/>
          <w:szCs w:val="20"/>
        </w:rPr>
        <w:t>31/0</w:t>
      </w:r>
      <w:r w:rsidR="002B4C34" w:rsidRPr="004D225D">
        <w:rPr>
          <w:sz w:val="20"/>
          <w:szCs w:val="20"/>
        </w:rPr>
        <w:t>3</w:t>
      </w:r>
      <w:r w:rsidRPr="004D225D">
        <w:rPr>
          <w:sz w:val="20"/>
          <w:szCs w:val="20"/>
        </w:rPr>
        <w:t>/20</w:t>
      </w:r>
      <w:r w:rsidR="002B4C34" w:rsidRPr="004D225D">
        <w:rPr>
          <w:sz w:val="20"/>
          <w:szCs w:val="20"/>
        </w:rPr>
        <w:t>2</w:t>
      </w:r>
      <w:r w:rsidR="00340A30" w:rsidRPr="004D225D">
        <w:rPr>
          <w:sz w:val="20"/>
          <w:szCs w:val="20"/>
        </w:rPr>
        <w:t>1</w:t>
      </w:r>
      <w:r w:rsidR="009D05EA" w:rsidRPr="004D225D">
        <w:rPr>
          <w:sz w:val="20"/>
          <w:szCs w:val="20"/>
        </w:rPr>
        <w:t>,</w:t>
      </w:r>
      <w:r w:rsidR="009D05EA">
        <w:rPr>
          <w:sz w:val="20"/>
          <w:szCs w:val="20"/>
        </w:rPr>
        <w:t xml:space="preserve"> no caso do lote 1 e 2</w:t>
      </w:r>
      <w:r w:rsidRPr="001F12DF">
        <w:rPr>
          <w:sz w:val="20"/>
          <w:szCs w:val="20"/>
        </w:rPr>
        <w:t xml:space="preserve">, salvo prorrogação expressa concedida pela Entidade Adjudicante. </w:t>
      </w:r>
    </w:p>
    <w:p w:rsidR="005676EF" w:rsidRPr="001F12DF" w:rsidRDefault="005676EF" w:rsidP="001F12DF">
      <w:pPr>
        <w:pStyle w:val="Default"/>
        <w:spacing w:line="360" w:lineRule="auto"/>
        <w:jc w:val="both"/>
        <w:rPr>
          <w:sz w:val="20"/>
          <w:szCs w:val="20"/>
        </w:rPr>
      </w:pPr>
    </w:p>
    <w:p w:rsidR="00B46B4C" w:rsidRPr="001F12DF" w:rsidRDefault="00B46B4C" w:rsidP="001F12DF">
      <w:pPr>
        <w:pStyle w:val="Default"/>
        <w:spacing w:line="360" w:lineRule="auto"/>
        <w:jc w:val="center"/>
        <w:rPr>
          <w:b/>
          <w:sz w:val="20"/>
          <w:szCs w:val="20"/>
        </w:rPr>
      </w:pPr>
      <w:r w:rsidRPr="001F12DF">
        <w:rPr>
          <w:b/>
          <w:sz w:val="20"/>
          <w:szCs w:val="20"/>
        </w:rPr>
        <w:t>Cláusula 3.ª</w:t>
      </w:r>
    </w:p>
    <w:p w:rsidR="00B46B4C" w:rsidRPr="001F12DF" w:rsidRDefault="00B46B4C" w:rsidP="001F12DF">
      <w:pPr>
        <w:pStyle w:val="Default"/>
        <w:spacing w:line="360" w:lineRule="auto"/>
        <w:jc w:val="center"/>
        <w:rPr>
          <w:b/>
          <w:sz w:val="20"/>
          <w:szCs w:val="20"/>
        </w:rPr>
      </w:pPr>
      <w:r w:rsidRPr="001F12DF">
        <w:rPr>
          <w:b/>
          <w:sz w:val="20"/>
          <w:szCs w:val="20"/>
        </w:rPr>
        <w:t>Serviços e Características técnicas</w:t>
      </w:r>
    </w:p>
    <w:p w:rsidR="00584C44" w:rsidRDefault="00B46B4C" w:rsidP="001F12DF">
      <w:pPr>
        <w:rPr>
          <w:rFonts w:cs="Arial"/>
          <w:sz w:val="20"/>
        </w:rPr>
      </w:pPr>
      <w:r w:rsidRPr="001F12DF">
        <w:rPr>
          <w:rFonts w:cs="Arial"/>
          <w:sz w:val="20"/>
        </w:rPr>
        <w:t>As actividades a desenvolver centram-se num programa estruturado de intervenção, que permita obter benefícios</w:t>
      </w:r>
      <w:r w:rsidR="00584C44">
        <w:rPr>
          <w:rFonts w:cs="Arial"/>
          <w:sz w:val="20"/>
        </w:rPr>
        <w:t xml:space="preserve"> de acordo com os lotes abaixo designados:</w:t>
      </w:r>
    </w:p>
    <w:p w:rsidR="00540A98" w:rsidRDefault="00540A98" w:rsidP="00540A98">
      <w:pPr>
        <w:rPr>
          <w:rFonts w:cs="Arial"/>
          <w:sz w:val="20"/>
        </w:rPr>
      </w:pPr>
      <w:r w:rsidRPr="001F12DF">
        <w:rPr>
          <w:rFonts w:cs="Arial"/>
          <w:sz w:val="20"/>
        </w:rPr>
        <w:t>As actividades a desenvolver centram-se num programa estruturado de intervenção, que permita obter benefícios</w:t>
      </w:r>
      <w:r>
        <w:rPr>
          <w:rFonts w:cs="Arial"/>
          <w:sz w:val="20"/>
        </w:rPr>
        <w:t xml:space="preserve"> de acordo com os lotes abaixo designados:</w:t>
      </w:r>
    </w:p>
    <w:p w:rsidR="00540A98" w:rsidRPr="00CA48B7" w:rsidRDefault="00540A98" w:rsidP="00540A98">
      <w:pPr>
        <w:rPr>
          <w:rFonts w:cs="Arial"/>
          <w:b/>
          <w:sz w:val="20"/>
        </w:rPr>
      </w:pPr>
      <w:r w:rsidRPr="00CA48B7">
        <w:rPr>
          <w:rFonts w:cs="Arial"/>
          <w:b/>
          <w:sz w:val="20"/>
        </w:rPr>
        <w:t>Lote 1:</w:t>
      </w:r>
    </w:p>
    <w:p w:rsidR="00540A98" w:rsidRDefault="00540A98" w:rsidP="00540A98">
      <w:pPr>
        <w:rPr>
          <w:rFonts w:cs="Arial"/>
          <w:sz w:val="20"/>
        </w:rPr>
      </w:pPr>
      <w:r w:rsidRPr="00584C44">
        <w:rPr>
          <w:rFonts w:cs="Arial"/>
          <w:sz w:val="20"/>
        </w:rPr>
        <w:t xml:space="preserve">Em termos organizativos, toda a calendarização dos trabalhos (consultoria e formação em sala), serão ajustadas às necessidades das empresas/empresários, sabendo </w:t>
      </w:r>
      <w:proofErr w:type="gramStart"/>
      <w:r w:rsidRPr="00584C44">
        <w:rPr>
          <w:rFonts w:cs="Arial"/>
          <w:sz w:val="20"/>
        </w:rPr>
        <w:t>que</w:t>
      </w:r>
      <w:proofErr w:type="gramEnd"/>
      <w:r w:rsidRPr="00584C44">
        <w:rPr>
          <w:rFonts w:cs="Arial"/>
          <w:sz w:val="20"/>
        </w:rPr>
        <w:t>:</w:t>
      </w:r>
    </w:p>
    <w:p w:rsidR="00540A98" w:rsidRPr="008C7E65" w:rsidRDefault="00540A98" w:rsidP="00540A98">
      <w:pPr>
        <w:pStyle w:val="PargrafodaLista"/>
        <w:numPr>
          <w:ilvl w:val="0"/>
          <w:numId w:val="26"/>
        </w:numPr>
        <w:rPr>
          <w:rFonts w:cs="Arial"/>
          <w:sz w:val="20"/>
        </w:rPr>
      </w:pPr>
      <w:r w:rsidRPr="008C7E65">
        <w:rPr>
          <w:rFonts w:cs="Arial"/>
          <w:sz w:val="20"/>
        </w:rPr>
        <w:t>A consultoria será realizada nas instalações da empresa participante, em dias e horário a combinar com o empresário;</w:t>
      </w:r>
    </w:p>
    <w:p w:rsidR="00540A98" w:rsidRPr="008C7E65" w:rsidRDefault="00540A98" w:rsidP="00540A98">
      <w:pPr>
        <w:rPr>
          <w:rFonts w:cs="Arial"/>
          <w:sz w:val="20"/>
        </w:rPr>
      </w:pPr>
    </w:p>
    <w:p w:rsidR="00540A98" w:rsidRPr="008C7E65" w:rsidRDefault="00540A98" w:rsidP="00540A98">
      <w:pPr>
        <w:pStyle w:val="PargrafodaLista"/>
        <w:numPr>
          <w:ilvl w:val="0"/>
          <w:numId w:val="26"/>
        </w:numPr>
        <w:rPr>
          <w:rFonts w:cs="Arial"/>
          <w:sz w:val="20"/>
        </w:rPr>
      </w:pPr>
      <w:r w:rsidRPr="008C7E65">
        <w:rPr>
          <w:rFonts w:cs="Arial"/>
          <w:sz w:val="20"/>
        </w:rPr>
        <w:t>As turmas da formação em sala terão de ter no mínimo 6 formandos. Por esse motivo, quando uma PME não tiver 6 colaboradores para frequentar a formação em sala, ter-se-á de juntar com colaboradores de outras empresas participantes (formação interempresas). No presente projeto prevê-se a seguinte organização da formação em sala, por temática:</w:t>
      </w:r>
    </w:p>
    <w:p w:rsidR="00540A98" w:rsidRPr="008C7E65" w:rsidRDefault="00540A98" w:rsidP="00540A98">
      <w:pPr>
        <w:pStyle w:val="PargrafodaLista"/>
        <w:rPr>
          <w:rFonts w:cs="Arial"/>
          <w:sz w:val="20"/>
        </w:rPr>
      </w:pPr>
    </w:p>
    <w:p w:rsidR="00540A98" w:rsidRPr="008C7E65" w:rsidRDefault="00540A98" w:rsidP="00540A98">
      <w:pPr>
        <w:pStyle w:val="PargrafodaLista"/>
        <w:numPr>
          <w:ilvl w:val="1"/>
          <w:numId w:val="26"/>
        </w:numPr>
        <w:rPr>
          <w:rFonts w:cs="Arial"/>
          <w:sz w:val="20"/>
        </w:rPr>
      </w:pPr>
      <w:r w:rsidRPr="008C7E65">
        <w:rPr>
          <w:rFonts w:cs="Arial"/>
          <w:b/>
          <w:bCs/>
          <w:sz w:val="20"/>
        </w:rPr>
        <w:t>Temática</w:t>
      </w:r>
      <w:r w:rsidRPr="008C7E65">
        <w:rPr>
          <w:rFonts w:cs="Arial"/>
          <w:sz w:val="20"/>
        </w:rPr>
        <w:t>: Economia Digital:</w:t>
      </w:r>
    </w:p>
    <w:p w:rsidR="00540A98" w:rsidRPr="008C7E65" w:rsidRDefault="00540A98" w:rsidP="00540A98">
      <w:pPr>
        <w:pStyle w:val="PargrafodaLista"/>
        <w:numPr>
          <w:ilvl w:val="2"/>
          <w:numId w:val="26"/>
        </w:numPr>
        <w:rPr>
          <w:rFonts w:cs="Arial"/>
          <w:sz w:val="20"/>
        </w:rPr>
      </w:pPr>
      <w:r w:rsidRPr="008C7E65">
        <w:rPr>
          <w:rFonts w:cs="Arial"/>
          <w:sz w:val="20"/>
        </w:rPr>
        <w:t xml:space="preserve">6 </w:t>
      </w:r>
      <w:proofErr w:type="gramStart"/>
      <w:r w:rsidRPr="008C7E65">
        <w:rPr>
          <w:rFonts w:cs="Arial"/>
          <w:sz w:val="20"/>
        </w:rPr>
        <w:t>microempresas</w:t>
      </w:r>
      <w:proofErr w:type="gramEnd"/>
      <w:r w:rsidRPr="008C7E65">
        <w:rPr>
          <w:rFonts w:cs="Arial"/>
          <w:sz w:val="20"/>
        </w:rPr>
        <w:t xml:space="preserve"> com formação interempresas;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2 </w:t>
      </w:r>
      <w:proofErr w:type="gramStart"/>
      <w:r w:rsidRPr="008C7E65">
        <w:rPr>
          <w:rFonts w:cs="Arial"/>
          <w:sz w:val="20"/>
        </w:rPr>
        <w:t>microempresas</w:t>
      </w:r>
      <w:proofErr w:type="gramEnd"/>
      <w:r w:rsidRPr="008C7E65">
        <w:rPr>
          <w:rFonts w:cs="Arial"/>
          <w:sz w:val="20"/>
        </w:rPr>
        <w:t xml:space="preserve"> com formação intraempresas;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4 </w:t>
      </w:r>
      <w:proofErr w:type="gramStart"/>
      <w:r w:rsidRPr="008C7E65">
        <w:rPr>
          <w:rFonts w:cs="Arial"/>
          <w:sz w:val="20"/>
        </w:rPr>
        <w:t>pequenas</w:t>
      </w:r>
      <w:proofErr w:type="gramEnd"/>
      <w:r w:rsidRPr="008C7E65">
        <w:rPr>
          <w:rFonts w:cs="Arial"/>
          <w:sz w:val="20"/>
        </w:rPr>
        <w:t xml:space="preserve"> empresas com formação intraempresas;</w:t>
      </w:r>
    </w:p>
    <w:p w:rsidR="00540A98" w:rsidRPr="008C7E65" w:rsidRDefault="00540A98" w:rsidP="00540A98">
      <w:pPr>
        <w:rPr>
          <w:rFonts w:cs="Arial"/>
          <w:sz w:val="20"/>
        </w:rPr>
      </w:pPr>
    </w:p>
    <w:tbl>
      <w:tblPr>
        <w:tblStyle w:val="Tabelacomgrelha"/>
        <w:tblW w:w="0" w:type="auto"/>
        <w:jc w:val="center"/>
        <w:tblLook w:val="04A0"/>
      </w:tblPr>
      <w:tblGrid>
        <w:gridCol w:w="3651"/>
        <w:gridCol w:w="1594"/>
        <w:gridCol w:w="1485"/>
        <w:gridCol w:w="1769"/>
      </w:tblGrid>
      <w:tr w:rsidR="00540A98" w:rsidRPr="008C7E65" w:rsidTr="00C36720">
        <w:trPr>
          <w:jc w:val="center"/>
        </w:trPr>
        <w:tc>
          <w:tcPr>
            <w:tcW w:w="3651" w:type="dxa"/>
            <w:tcBorders>
              <w:top w:val="nil"/>
              <w:left w:val="nil"/>
              <w:bottom w:val="nil"/>
              <w:right w:val="single" w:sz="4" w:space="0" w:color="auto"/>
            </w:tcBorders>
            <w:vAlign w:val="center"/>
          </w:tcPr>
          <w:p w:rsidR="00540A98" w:rsidRPr="008C7E65" w:rsidRDefault="00540A98" w:rsidP="00C36720">
            <w:pPr>
              <w:autoSpaceDE w:val="0"/>
              <w:autoSpaceDN w:val="0"/>
              <w:adjustRightInd w:val="0"/>
              <w:rPr>
                <w:rFonts w:cs="Arial"/>
                <w:sz w:val="20"/>
                <w:lang w:eastAsia="en-US"/>
              </w:rPr>
            </w:pPr>
          </w:p>
        </w:tc>
        <w:tc>
          <w:tcPr>
            <w:tcW w:w="4848" w:type="dxa"/>
            <w:gridSpan w:val="3"/>
            <w:tcBorders>
              <w:left w:val="single" w:sz="4" w:space="0" w:color="auto"/>
            </w:tcBorders>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Temática: Economia Digital</w:t>
            </w:r>
          </w:p>
        </w:tc>
      </w:tr>
      <w:tr w:rsidR="00540A98" w:rsidRPr="008C7E65" w:rsidTr="00C36720">
        <w:trPr>
          <w:jc w:val="center"/>
        </w:trPr>
        <w:tc>
          <w:tcPr>
            <w:tcW w:w="3651" w:type="dxa"/>
            <w:tcBorders>
              <w:top w:val="nil"/>
              <w:left w:val="nil"/>
            </w:tcBorders>
            <w:vAlign w:val="center"/>
          </w:tcPr>
          <w:p w:rsidR="00540A98" w:rsidRPr="008C7E65" w:rsidRDefault="00540A98" w:rsidP="00C36720">
            <w:pPr>
              <w:autoSpaceDE w:val="0"/>
              <w:autoSpaceDN w:val="0"/>
              <w:adjustRightInd w:val="0"/>
              <w:rPr>
                <w:rFonts w:cs="Arial"/>
                <w:sz w:val="20"/>
                <w:lang w:eastAsia="en-US"/>
              </w:rPr>
            </w:pPr>
          </w:p>
        </w:tc>
        <w:tc>
          <w:tcPr>
            <w:tcW w:w="1594" w:type="dxa"/>
            <w:vAlign w:val="center"/>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Formação</w:t>
            </w:r>
          </w:p>
          <w:p w:rsidR="00540A98" w:rsidRPr="008C7E65" w:rsidRDefault="00540A98" w:rsidP="00C36720">
            <w:pPr>
              <w:autoSpaceDE w:val="0"/>
              <w:autoSpaceDN w:val="0"/>
              <w:adjustRightInd w:val="0"/>
              <w:jc w:val="center"/>
              <w:rPr>
                <w:rFonts w:cs="Arial"/>
                <w:b/>
                <w:sz w:val="20"/>
                <w:lang w:eastAsia="en-US"/>
              </w:rPr>
            </w:pPr>
            <w:proofErr w:type="spellStart"/>
            <w:r w:rsidRPr="008C7E65">
              <w:rPr>
                <w:rFonts w:cs="Arial"/>
                <w:b/>
                <w:sz w:val="20"/>
                <w:lang w:eastAsia="en-US"/>
              </w:rPr>
              <w:lastRenderedPageBreak/>
              <w:t>Intra</w:t>
            </w:r>
            <w:proofErr w:type="spellEnd"/>
          </w:p>
        </w:tc>
        <w:tc>
          <w:tcPr>
            <w:tcW w:w="1485" w:type="dxa"/>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lastRenderedPageBreak/>
              <w:t xml:space="preserve">Formação </w:t>
            </w:r>
            <w:proofErr w:type="spellStart"/>
            <w:r w:rsidRPr="008C7E65">
              <w:rPr>
                <w:rFonts w:cs="Arial"/>
                <w:b/>
                <w:sz w:val="20"/>
                <w:lang w:eastAsia="en-US"/>
              </w:rPr>
              <w:lastRenderedPageBreak/>
              <w:t>Inter</w:t>
            </w:r>
            <w:proofErr w:type="spellEnd"/>
          </w:p>
        </w:tc>
        <w:tc>
          <w:tcPr>
            <w:tcW w:w="1769" w:type="dxa"/>
            <w:vAlign w:val="center"/>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lastRenderedPageBreak/>
              <w:t>Consultoria</w:t>
            </w:r>
          </w:p>
        </w:tc>
      </w:tr>
      <w:tr w:rsidR="00540A98" w:rsidRPr="008C7E65" w:rsidTr="00C36720">
        <w:trPr>
          <w:jc w:val="center"/>
        </w:trPr>
        <w:tc>
          <w:tcPr>
            <w:tcW w:w="3651" w:type="dxa"/>
            <w:vAlign w:val="center"/>
          </w:tcPr>
          <w:p w:rsidR="00540A98" w:rsidRPr="008C7E65" w:rsidRDefault="00540A98" w:rsidP="00C36720">
            <w:pPr>
              <w:autoSpaceDE w:val="0"/>
              <w:autoSpaceDN w:val="0"/>
              <w:adjustRightInd w:val="0"/>
              <w:jc w:val="left"/>
              <w:rPr>
                <w:rFonts w:cs="Arial"/>
                <w:b/>
                <w:sz w:val="20"/>
                <w:lang w:eastAsia="en-US"/>
              </w:rPr>
            </w:pPr>
            <w:r w:rsidRPr="008C7E65">
              <w:rPr>
                <w:rFonts w:cs="Arial"/>
                <w:b/>
                <w:sz w:val="20"/>
                <w:lang w:eastAsia="en-US"/>
              </w:rPr>
              <w:lastRenderedPageBreak/>
              <w:t>Distribuição do n.º de horas</w:t>
            </w:r>
          </w:p>
        </w:tc>
        <w:tc>
          <w:tcPr>
            <w:tcW w:w="3079" w:type="dxa"/>
            <w:gridSpan w:val="2"/>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100</w:t>
            </w:r>
          </w:p>
        </w:tc>
        <w:tc>
          <w:tcPr>
            <w:tcW w:w="1769"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100</w:t>
            </w:r>
          </w:p>
        </w:tc>
      </w:tr>
      <w:tr w:rsidR="00540A98" w:rsidRPr="008C7E65" w:rsidTr="00C36720">
        <w:trPr>
          <w:jc w:val="center"/>
        </w:trPr>
        <w:tc>
          <w:tcPr>
            <w:tcW w:w="3651" w:type="dxa"/>
            <w:vAlign w:val="center"/>
          </w:tcPr>
          <w:p w:rsidR="00540A98" w:rsidRPr="008C7E65" w:rsidRDefault="00540A98" w:rsidP="00C36720">
            <w:pPr>
              <w:autoSpaceDE w:val="0"/>
              <w:autoSpaceDN w:val="0"/>
              <w:adjustRightInd w:val="0"/>
              <w:jc w:val="left"/>
              <w:rPr>
                <w:rFonts w:cs="Arial"/>
                <w:b/>
                <w:sz w:val="20"/>
                <w:lang w:eastAsia="en-US"/>
              </w:rPr>
            </w:pPr>
            <w:r w:rsidRPr="008C7E65">
              <w:rPr>
                <w:rFonts w:cs="Arial"/>
                <w:b/>
                <w:sz w:val="20"/>
                <w:lang w:eastAsia="en-US"/>
              </w:rPr>
              <w:t>Distribuição do n.º de participantes</w:t>
            </w:r>
          </w:p>
        </w:tc>
        <w:tc>
          <w:tcPr>
            <w:tcW w:w="1594"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Mínimo de 6</w:t>
            </w:r>
          </w:p>
        </w:tc>
        <w:tc>
          <w:tcPr>
            <w:tcW w:w="1485" w:type="dxa"/>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Média de 3</w:t>
            </w:r>
          </w:p>
        </w:tc>
        <w:tc>
          <w:tcPr>
            <w:tcW w:w="1769"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Média de 3</w:t>
            </w:r>
          </w:p>
        </w:tc>
      </w:tr>
    </w:tbl>
    <w:p w:rsidR="00540A98" w:rsidRPr="008C7E65" w:rsidRDefault="00540A98" w:rsidP="00540A98">
      <w:pPr>
        <w:rPr>
          <w:sz w:val="20"/>
        </w:rPr>
      </w:pPr>
    </w:p>
    <w:p w:rsidR="00540A98" w:rsidRPr="008C7E65" w:rsidRDefault="00540A98" w:rsidP="00540A98">
      <w:pPr>
        <w:pStyle w:val="PargrafodaLista"/>
        <w:numPr>
          <w:ilvl w:val="1"/>
          <w:numId w:val="26"/>
        </w:numPr>
        <w:rPr>
          <w:rFonts w:cs="Arial"/>
          <w:sz w:val="20"/>
        </w:rPr>
      </w:pPr>
      <w:r w:rsidRPr="008C7E65">
        <w:rPr>
          <w:rFonts w:cs="Arial"/>
          <w:b/>
          <w:bCs/>
          <w:sz w:val="20"/>
        </w:rPr>
        <w:t>Temática</w:t>
      </w:r>
      <w:r w:rsidRPr="008C7E65">
        <w:rPr>
          <w:rFonts w:cs="Arial"/>
          <w:sz w:val="20"/>
        </w:rPr>
        <w:t>: Gestão da Inovação:</w:t>
      </w:r>
    </w:p>
    <w:p w:rsidR="00540A98" w:rsidRPr="008C7E65" w:rsidRDefault="00540A98" w:rsidP="00540A98">
      <w:pPr>
        <w:pStyle w:val="PargrafodaLista"/>
        <w:numPr>
          <w:ilvl w:val="2"/>
          <w:numId w:val="26"/>
        </w:numPr>
        <w:rPr>
          <w:rFonts w:cs="Arial"/>
          <w:sz w:val="20"/>
        </w:rPr>
      </w:pPr>
      <w:r w:rsidRPr="008C7E65">
        <w:rPr>
          <w:rFonts w:cs="Arial"/>
          <w:sz w:val="20"/>
        </w:rPr>
        <w:t xml:space="preserve">6 </w:t>
      </w:r>
      <w:proofErr w:type="gramStart"/>
      <w:r w:rsidRPr="008C7E65">
        <w:rPr>
          <w:rFonts w:cs="Arial"/>
          <w:sz w:val="20"/>
        </w:rPr>
        <w:t>microempresas</w:t>
      </w:r>
      <w:proofErr w:type="gramEnd"/>
      <w:r w:rsidRPr="008C7E65">
        <w:rPr>
          <w:rFonts w:cs="Arial"/>
          <w:sz w:val="20"/>
        </w:rPr>
        <w:t xml:space="preserve"> com formação interempresas;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2 </w:t>
      </w:r>
      <w:proofErr w:type="gramStart"/>
      <w:r w:rsidRPr="008C7E65">
        <w:rPr>
          <w:rFonts w:cs="Arial"/>
          <w:sz w:val="20"/>
        </w:rPr>
        <w:t>microempresas</w:t>
      </w:r>
      <w:proofErr w:type="gramEnd"/>
      <w:r w:rsidRPr="008C7E65">
        <w:rPr>
          <w:rFonts w:cs="Arial"/>
          <w:sz w:val="20"/>
        </w:rPr>
        <w:t xml:space="preserve"> com formação intraempresas;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3 </w:t>
      </w:r>
      <w:proofErr w:type="gramStart"/>
      <w:r w:rsidRPr="008C7E65">
        <w:rPr>
          <w:rFonts w:cs="Arial"/>
          <w:sz w:val="20"/>
        </w:rPr>
        <w:t>pequenas</w:t>
      </w:r>
      <w:proofErr w:type="gramEnd"/>
      <w:r w:rsidRPr="008C7E65">
        <w:rPr>
          <w:rFonts w:cs="Arial"/>
          <w:sz w:val="20"/>
        </w:rPr>
        <w:t xml:space="preserve"> empresas com formação intraempresas;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2 </w:t>
      </w:r>
      <w:proofErr w:type="gramStart"/>
      <w:r w:rsidRPr="008C7E65">
        <w:rPr>
          <w:rFonts w:cs="Arial"/>
          <w:sz w:val="20"/>
        </w:rPr>
        <w:t>médias</w:t>
      </w:r>
      <w:proofErr w:type="gramEnd"/>
      <w:r w:rsidRPr="008C7E65">
        <w:rPr>
          <w:rFonts w:cs="Arial"/>
          <w:sz w:val="20"/>
        </w:rPr>
        <w:t xml:space="preserve"> empresas com formação intraempresa.</w:t>
      </w:r>
    </w:p>
    <w:p w:rsidR="00540A98" w:rsidRPr="008C7E65" w:rsidRDefault="00540A98" w:rsidP="00540A98">
      <w:pPr>
        <w:pStyle w:val="PargrafodaLista"/>
        <w:rPr>
          <w:rFonts w:cs="Arial"/>
          <w:sz w:val="20"/>
        </w:rPr>
      </w:pPr>
    </w:p>
    <w:tbl>
      <w:tblPr>
        <w:tblStyle w:val="Tabelacomgrelha"/>
        <w:tblW w:w="0" w:type="auto"/>
        <w:jc w:val="center"/>
        <w:tblLook w:val="04A0"/>
      </w:tblPr>
      <w:tblGrid>
        <w:gridCol w:w="3651"/>
        <w:gridCol w:w="1736"/>
        <w:gridCol w:w="1343"/>
        <w:gridCol w:w="1769"/>
      </w:tblGrid>
      <w:tr w:rsidR="00540A98" w:rsidRPr="008C7E65" w:rsidTr="00C36720">
        <w:trPr>
          <w:jc w:val="center"/>
        </w:trPr>
        <w:tc>
          <w:tcPr>
            <w:tcW w:w="3651" w:type="dxa"/>
            <w:tcBorders>
              <w:top w:val="nil"/>
              <w:left w:val="nil"/>
              <w:bottom w:val="nil"/>
              <w:right w:val="single" w:sz="4" w:space="0" w:color="auto"/>
            </w:tcBorders>
            <w:vAlign w:val="center"/>
          </w:tcPr>
          <w:p w:rsidR="00540A98" w:rsidRPr="008C7E65" w:rsidRDefault="00540A98" w:rsidP="00C36720">
            <w:pPr>
              <w:autoSpaceDE w:val="0"/>
              <w:autoSpaceDN w:val="0"/>
              <w:adjustRightInd w:val="0"/>
              <w:rPr>
                <w:rFonts w:cs="Arial"/>
                <w:sz w:val="20"/>
                <w:lang w:eastAsia="en-US"/>
              </w:rPr>
            </w:pPr>
          </w:p>
        </w:tc>
        <w:tc>
          <w:tcPr>
            <w:tcW w:w="4848" w:type="dxa"/>
            <w:gridSpan w:val="3"/>
            <w:tcBorders>
              <w:left w:val="single" w:sz="4" w:space="0" w:color="auto"/>
            </w:tcBorders>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Temática: Gestão da Inovação</w:t>
            </w:r>
          </w:p>
        </w:tc>
      </w:tr>
      <w:tr w:rsidR="00540A98" w:rsidRPr="008C7E65" w:rsidTr="00C36720">
        <w:trPr>
          <w:jc w:val="center"/>
        </w:trPr>
        <w:tc>
          <w:tcPr>
            <w:tcW w:w="3651" w:type="dxa"/>
            <w:tcBorders>
              <w:top w:val="nil"/>
              <w:left w:val="nil"/>
            </w:tcBorders>
            <w:vAlign w:val="center"/>
          </w:tcPr>
          <w:p w:rsidR="00540A98" w:rsidRPr="008C7E65" w:rsidRDefault="00540A98" w:rsidP="00C36720">
            <w:pPr>
              <w:autoSpaceDE w:val="0"/>
              <w:autoSpaceDN w:val="0"/>
              <w:adjustRightInd w:val="0"/>
              <w:rPr>
                <w:rFonts w:cs="Arial"/>
                <w:sz w:val="20"/>
                <w:lang w:eastAsia="en-US"/>
              </w:rPr>
            </w:pPr>
          </w:p>
        </w:tc>
        <w:tc>
          <w:tcPr>
            <w:tcW w:w="1736" w:type="dxa"/>
            <w:vAlign w:val="center"/>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Formação</w:t>
            </w:r>
          </w:p>
          <w:p w:rsidR="00540A98" w:rsidRPr="008C7E65" w:rsidRDefault="00540A98" w:rsidP="00C36720">
            <w:pPr>
              <w:autoSpaceDE w:val="0"/>
              <w:autoSpaceDN w:val="0"/>
              <w:adjustRightInd w:val="0"/>
              <w:jc w:val="center"/>
              <w:rPr>
                <w:rFonts w:cs="Arial"/>
                <w:b/>
                <w:sz w:val="20"/>
                <w:lang w:eastAsia="en-US"/>
              </w:rPr>
            </w:pPr>
            <w:proofErr w:type="spellStart"/>
            <w:r w:rsidRPr="008C7E65">
              <w:rPr>
                <w:rFonts w:cs="Arial"/>
                <w:b/>
                <w:sz w:val="20"/>
                <w:lang w:eastAsia="en-US"/>
              </w:rPr>
              <w:t>Intra</w:t>
            </w:r>
            <w:proofErr w:type="spellEnd"/>
          </w:p>
        </w:tc>
        <w:tc>
          <w:tcPr>
            <w:tcW w:w="1343" w:type="dxa"/>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 xml:space="preserve">Formação </w:t>
            </w:r>
            <w:proofErr w:type="spellStart"/>
            <w:r w:rsidRPr="008C7E65">
              <w:rPr>
                <w:rFonts w:cs="Arial"/>
                <w:b/>
                <w:sz w:val="20"/>
                <w:lang w:eastAsia="en-US"/>
              </w:rPr>
              <w:t>Inter</w:t>
            </w:r>
            <w:proofErr w:type="spellEnd"/>
          </w:p>
        </w:tc>
        <w:tc>
          <w:tcPr>
            <w:tcW w:w="1769" w:type="dxa"/>
            <w:vAlign w:val="center"/>
          </w:tcPr>
          <w:p w:rsidR="00540A98" w:rsidRPr="008C7E65" w:rsidRDefault="00540A98" w:rsidP="00C36720">
            <w:pPr>
              <w:autoSpaceDE w:val="0"/>
              <w:autoSpaceDN w:val="0"/>
              <w:adjustRightInd w:val="0"/>
              <w:jc w:val="center"/>
              <w:rPr>
                <w:rFonts w:cs="Arial"/>
                <w:b/>
                <w:sz w:val="20"/>
                <w:lang w:eastAsia="en-US"/>
              </w:rPr>
            </w:pPr>
            <w:r w:rsidRPr="008C7E65">
              <w:rPr>
                <w:rFonts w:cs="Arial"/>
                <w:b/>
                <w:sz w:val="20"/>
                <w:lang w:eastAsia="en-US"/>
              </w:rPr>
              <w:t>Consultoria</w:t>
            </w:r>
          </w:p>
        </w:tc>
      </w:tr>
      <w:tr w:rsidR="00540A98" w:rsidRPr="008C7E65" w:rsidTr="00C36720">
        <w:trPr>
          <w:jc w:val="center"/>
        </w:trPr>
        <w:tc>
          <w:tcPr>
            <w:tcW w:w="3651" w:type="dxa"/>
            <w:vAlign w:val="center"/>
          </w:tcPr>
          <w:p w:rsidR="00540A98" w:rsidRPr="008C7E65" w:rsidRDefault="00540A98" w:rsidP="00C36720">
            <w:pPr>
              <w:autoSpaceDE w:val="0"/>
              <w:autoSpaceDN w:val="0"/>
              <w:adjustRightInd w:val="0"/>
              <w:jc w:val="left"/>
              <w:rPr>
                <w:rFonts w:cs="Arial"/>
                <w:b/>
                <w:sz w:val="20"/>
                <w:lang w:eastAsia="en-US"/>
              </w:rPr>
            </w:pPr>
            <w:r w:rsidRPr="008C7E65">
              <w:rPr>
                <w:rFonts w:cs="Arial"/>
                <w:b/>
                <w:sz w:val="20"/>
                <w:lang w:eastAsia="en-US"/>
              </w:rPr>
              <w:t>Distribuição do n.º de horas</w:t>
            </w:r>
          </w:p>
        </w:tc>
        <w:tc>
          <w:tcPr>
            <w:tcW w:w="3079" w:type="dxa"/>
            <w:gridSpan w:val="2"/>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75</w:t>
            </w:r>
          </w:p>
        </w:tc>
        <w:tc>
          <w:tcPr>
            <w:tcW w:w="1769"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100</w:t>
            </w:r>
          </w:p>
        </w:tc>
      </w:tr>
      <w:tr w:rsidR="00540A98" w:rsidRPr="008C7E65" w:rsidTr="00C36720">
        <w:trPr>
          <w:jc w:val="center"/>
        </w:trPr>
        <w:tc>
          <w:tcPr>
            <w:tcW w:w="3651" w:type="dxa"/>
            <w:vAlign w:val="center"/>
          </w:tcPr>
          <w:p w:rsidR="00540A98" w:rsidRPr="008C7E65" w:rsidRDefault="00540A98" w:rsidP="00C36720">
            <w:pPr>
              <w:autoSpaceDE w:val="0"/>
              <w:autoSpaceDN w:val="0"/>
              <w:adjustRightInd w:val="0"/>
              <w:jc w:val="left"/>
              <w:rPr>
                <w:rFonts w:cs="Arial"/>
                <w:b/>
                <w:sz w:val="20"/>
                <w:lang w:eastAsia="en-US"/>
              </w:rPr>
            </w:pPr>
            <w:r w:rsidRPr="008C7E65">
              <w:rPr>
                <w:rFonts w:cs="Arial"/>
                <w:b/>
                <w:sz w:val="20"/>
                <w:lang w:eastAsia="en-US"/>
              </w:rPr>
              <w:t>Distribuição do n.º de participantes</w:t>
            </w:r>
          </w:p>
        </w:tc>
        <w:tc>
          <w:tcPr>
            <w:tcW w:w="1736"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Mínimo de 6</w:t>
            </w:r>
          </w:p>
        </w:tc>
        <w:tc>
          <w:tcPr>
            <w:tcW w:w="1343" w:type="dxa"/>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Média de 3</w:t>
            </w:r>
          </w:p>
        </w:tc>
        <w:tc>
          <w:tcPr>
            <w:tcW w:w="1769" w:type="dxa"/>
            <w:vAlign w:val="center"/>
          </w:tcPr>
          <w:p w:rsidR="00540A98" w:rsidRPr="008C7E65" w:rsidRDefault="00540A98" w:rsidP="00C36720">
            <w:pPr>
              <w:autoSpaceDE w:val="0"/>
              <w:autoSpaceDN w:val="0"/>
              <w:adjustRightInd w:val="0"/>
              <w:jc w:val="center"/>
              <w:rPr>
                <w:rFonts w:cs="Arial"/>
                <w:sz w:val="20"/>
                <w:lang w:eastAsia="en-US"/>
              </w:rPr>
            </w:pPr>
            <w:r w:rsidRPr="008C7E65">
              <w:rPr>
                <w:rFonts w:cs="Arial"/>
                <w:sz w:val="20"/>
                <w:lang w:eastAsia="en-US"/>
              </w:rPr>
              <w:t>Média de 3</w:t>
            </w:r>
          </w:p>
        </w:tc>
      </w:tr>
    </w:tbl>
    <w:p w:rsidR="00540A98" w:rsidRPr="00563A05" w:rsidRDefault="00540A98" w:rsidP="00540A98">
      <w:pPr>
        <w:rPr>
          <w:sz w:val="20"/>
        </w:rPr>
      </w:pPr>
    </w:p>
    <w:p w:rsidR="00540A98" w:rsidRPr="00CA48B7" w:rsidRDefault="00540A98" w:rsidP="00540A98">
      <w:pPr>
        <w:rPr>
          <w:rFonts w:cs="Arial"/>
          <w:b/>
          <w:sz w:val="20"/>
        </w:rPr>
      </w:pPr>
      <w:r w:rsidRPr="00CA48B7">
        <w:rPr>
          <w:rFonts w:cs="Arial"/>
          <w:b/>
          <w:sz w:val="20"/>
        </w:rPr>
        <w:t>Lote 2</w:t>
      </w:r>
    </w:p>
    <w:p w:rsidR="00540A98" w:rsidRPr="00002342" w:rsidRDefault="00540A98" w:rsidP="00540A98">
      <w:pPr>
        <w:rPr>
          <w:rFonts w:cs="Arial"/>
          <w:sz w:val="20"/>
        </w:rPr>
      </w:pPr>
      <w:r w:rsidRPr="00002342">
        <w:rPr>
          <w:rFonts w:cs="Arial"/>
          <w:sz w:val="20"/>
        </w:rPr>
        <w:t xml:space="preserve">Em termos organizativos, toda a calendarização dos trabalhos (consultoria e formação em sala), serão ajustadas às necessidades das empresas/empresários, sabendo </w:t>
      </w:r>
      <w:proofErr w:type="gramStart"/>
      <w:r w:rsidRPr="00002342">
        <w:rPr>
          <w:rFonts w:cs="Arial"/>
          <w:sz w:val="20"/>
        </w:rPr>
        <w:t>que</w:t>
      </w:r>
      <w:proofErr w:type="gramEnd"/>
      <w:r w:rsidRPr="00002342">
        <w:rPr>
          <w:rFonts w:cs="Arial"/>
          <w:sz w:val="20"/>
        </w:rPr>
        <w:t>:</w:t>
      </w:r>
    </w:p>
    <w:p w:rsidR="00540A98" w:rsidRPr="008C7E65" w:rsidRDefault="00540A98" w:rsidP="00540A98">
      <w:pPr>
        <w:pStyle w:val="PargrafodaLista"/>
        <w:numPr>
          <w:ilvl w:val="0"/>
          <w:numId w:val="26"/>
        </w:numPr>
        <w:rPr>
          <w:rFonts w:cs="Arial"/>
          <w:sz w:val="20"/>
        </w:rPr>
      </w:pPr>
      <w:r w:rsidRPr="008C7E65">
        <w:rPr>
          <w:rFonts w:cs="Arial"/>
          <w:sz w:val="20"/>
        </w:rPr>
        <w:t>A consultoria será realizada nas instalações da empresa participante, em dias e horário a combinar com o empresário;</w:t>
      </w:r>
    </w:p>
    <w:p w:rsidR="00540A98" w:rsidRPr="008C7E65" w:rsidRDefault="00540A98" w:rsidP="00540A98">
      <w:pPr>
        <w:rPr>
          <w:rFonts w:cs="Arial"/>
          <w:sz w:val="20"/>
        </w:rPr>
      </w:pPr>
    </w:p>
    <w:p w:rsidR="00540A98" w:rsidRPr="008C7E65" w:rsidRDefault="00540A98" w:rsidP="00540A98">
      <w:pPr>
        <w:pStyle w:val="PargrafodaLista"/>
        <w:numPr>
          <w:ilvl w:val="0"/>
          <w:numId w:val="26"/>
        </w:numPr>
        <w:rPr>
          <w:rFonts w:cs="Arial"/>
          <w:sz w:val="20"/>
        </w:rPr>
      </w:pPr>
      <w:r w:rsidRPr="008C7E65">
        <w:rPr>
          <w:rFonts w:cs="Arial"/>
          <w:sz w:val="20"/>
        </w:rPr>
        <w:t>As turmas da formação em sala terão de ter no mínimo 6 formandos. Por esse motivo, as microempresas terão sempre de ter formação interempresas. No presente projeto prevê-se a seguinte organização da formação em sala, por temática:</w:t>
      </w:r>
    </w:p>
    <w:p w:rsidR="00540A98" w:rsidRPr="008C7E65" w:rsidRDefault="00540A98" w:rsidP="00540A98">
      <w:pPr>
        <w:pStyle w:val="PargrafodaLista"/>
        <w:rPr>
          <w:rFonts w:cs="Arial"/>
          <w:sz w:val="20"/>
        </w:rPr>
      </w:pPr>
    </w:p>
    <w:p w:rsidR="00540A98" w:rsidRPr="008C7E65" w:rsidRDefault="00540A98" w:rsidP="00540A98">
      <w:pPr>
        <w:pStyle w:val="PargrafodaLista"/>
        <w:numPr>
          <w:ilvl w:val="1"/>
          <w:numId w:val="26"/>
        </w:numPr>
        <w:rPr>
          <w:rFonts w:cs="Arial"/>
          <w:sz w:val="20"/>
        </w:rPr>
      </w:pPr>
      <w:r w:rsidRPr="008C7E65">
        <w:rPr>
          <w:rFonts w:cs="Arial"/>
          <w:b/>
          <w:bCs/>
          <w:sz w:val="20"/>
        </w:rPr>
        <w:t>Temática</w:t>
      </w:r>
      <w:r w:rsidRPr="008C7E65">
        <w:rPr>
          <w:rFonts w:cs="Arial"/>
          <w:sz w:val="20"/>
        </w:rPr>
        <w:t>: Organização e Gestão:</w:t>
      </w:r>
    </w:p>
    <w:p w:rsidR="00540A98" w:rsidRPr="008C7E65" w:rsidRDefault="00540A98" w:rsidP="00540A98">
      <w:pPr>
        <w:pStyle w:val="PargrafodaLista"/>
        <w:numPr>
          <w:ilvl w:val="2"/>
          <w:numId w:val="26"/>
        </w:numPr>
        <w:rPr>
          <w:rFonts w:cs="Arial"/>
          <w:sz w:val="20"/>
        </w:rPr>
      </w:pPr>
      <w:r w:rsidRPr="008C7E65">
        <w:rPr>
          <w:rFonts w:cs="Arial"/>
          <w:sz w:val="20"/>
        </w:rPr>
        <w:t xml:space="preserve">6 </w:t>
      </w:r>
      <w:proofErr w:type="gramStart"/>
      <w:r w:rsidRPr="008C7E65">
        <w:rPr>
          <w:rFonts w:cs="Arial"/>
          <w:sz w:val="20"/>
        </w:rPr>
        <w:t>microempresas</w:t>
      </w:r>
      <w:proofErr w:type="gramEnd"/>
      <w:r w:rsidRPr="008C7E65">
        <w:rPr>
          <w:rFonts w:cs="Arial"/>
          <w:sz w:val="20"/>
        </w:rPr>
        <w:t xml:space="preserve"> com formação interempresas;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4 </w:t>
      </w:r>
      <w:proofErr w:type="gramStart"/>
      <w:r w:rsidRPr="008C7E65">
        <w:rPr>
          <w:rFonts w:cs="Arial"/>
          <w:sz w:val="20"/>
        </w:rPr>
        <w:t>pequenas</w:t>
      </w:r>
      <w:proofErr w:type="gramEnd"/>
      <w:r w:rsidRPr="008C7E65">
        <w:rPr>
          <w:rFonts w:cs="Arial"/>
          <w:sz w:val="20"/>
        </w:rPr>
        <w:t xml:space="preserve"> empresas com formação intraempresas;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2 </w:t>
      </w:r>
      <w:proofErr w:type="gramStart"/>
      <w:r w:rsidRPr="008C7E65">
        <w:rPr>
          <w:rFonts w:cs="Arial"/>
          <w:sz w:val="20"/>
        </w:rPr>
        <w:t>médias</w:t>
      </w:r>
      <w:proofErr w:type="gramEnd"/>
      <w:r w:rsidRPr="008C7E65">
        <w:rPr>
          <w:rFonts w:cs="Arial"/>
          <w:sz w:val="20"/>
        </w:rPr>
        <w:t xml:space="preserve"> empresas com formação intraempresa.</w:t>
      </w:r>
    </w:p>
    <w:p w:rsidR="00540A98" w:rsidRPr="008C7E65" w:rsidRDefault="00540A98" w:rsidP="00540A98">
      <w:pPr>
        <w:pStyle w:val="PargrafodaLista"/>
        <w:rPr>
          <w:rFonts w:cs="Arial"/>
          <w:sz w:val="20"/>
        </w:rPr>
      </w:pPr>
    </w:p>
    <w:p w:rsidR="00540A98" w:rsidRPr="008C7E65" w:rsidRDefault="00540A98" w:rsidP="00540A98">
      <w:pPr>
        <w:pStyle w:val="PargrafodaLista"/>
        <w:numPr>
          <w:ilvl w:val="1"/>
          <w:numId w:val="26"/>
        </w:numPr>
        <w:rPr>
          <w:rFonts w:cs="Arial"/>
          <w:sz w:val="20"/>
        </w:rPr>
      </w:pPr>
      <w:r w:rsidRPr="008C7E65">
        <w:rPr>
          <w:rFonts w:cs="Arial"/>
          <w:b/>
          <w:bCs/>
          <w:sz w:val="20"/>
        </w:rPr>
        <w:t>Temática</w:t>
      </w:r>
      <w:r w:rsidRPr="008C7E65">
        <w:rPr>
          <w:rFonts w:cs="Arial"/>
          <w:sz w:val="20"/>
        </w:rPr>
        <w:t>: Economia Digital:</w:t>
      </w:r>
    </w:p>
    <w:p w:rsidR="00540A98" w:rsidRPr="008C7E65" w:rsidRDefault="00540A98" w:rsidP="00540A98">
      <w:pPr>
        <w:pStyle w:val="PargrafodaLista"/>
        <w:numPr>
          <w:ilvl w:val="2"/>
          <w:numId w:val="26"/>
        </w:numPr>
        <w:rPr>
          <w:rFonts w:cs="Arial"/>
          <w:sz w:val="20"/>
        </w:rPr>
      </w:pPr>
      <w:r w:rsidRPr="008C7E65">
        <w:rPr>
          <w:rFonts w:cs="Arial"/>
          <w:sz w:val="20"/>
        </w:rPr>
        <w:t xml:space="preserve">6 </w:t>
      </w:r>
      <w:proofErr w:type="gramStart"/>
      <w:r w:rsidRPr="008C7E65">
        <w:rPr>
          <w:rFonts w:cs="Arial"/>
          <w:sz w:val="20"/>
        </w:rPr>
        <w:t>microempresas</w:t>
      </w:r>
      <w:proofErr w:type="gramEnd"/>
      <w:r w:rsidRPr="008C7E65">
        <w:rPr>
          <w:rFonts w:cs="Arial"/>
          <w:sz w:val="20"/>
        </w:rPr>
        <w:t xml:space="preserve"> com formação interempresas;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3 </w:t>
      </w:r>
      <w:proofErr w:type="gramStart"/>
      <w:r w:rsidRPr="008C7E65">
        <w:rPr>
          <w:rFonts w:cs="Arial"/>
          <w:sz w:val="20"/>
        </w:rPr>
        <w:t>pequenas</w:t>
      </w:r>
      <w:proofErr w:type="gramEnd"/>
      <w:r w:rsidRPr="008C7E65">
        <w:rPr>
          <w:rFonts w:cs="Arial"/>
          <w:sz w:val="20"/>
        </w:rPr>
        <w:t xml:space="preserve"> empresas com formação intraempresas;</w:t>
      </w:r>
    </w:p>
    <w:p w:rsidR="00540A98" w:rsidRPr="008C7E65" w:rsidRDefault="00540A98" w:rsidP="00540A98">
      <w:pPr>
        <w:pStyle w:val="PargrafodaLista"/>
        <w:numPr>
          <w:ilvl w:val="2"/>
          <w:numId w:val="26"/>
        </w:numPr>
        <w:rPr>
          <w:rFonts w:cs="Arial"/>
          <w:sz w:val="20"/>
        </w:rPr>
      </w:pPr>
      <w:r w:rsidRPr="008C7E65">
        <w:rPr>
          <w:rFonts w:cs="Arial"/>
          <w:sz w:val="20"/>
        </w:rPr>
        <w:t xml:space="preserve">3 </w:t>
      </w:r>
      <w:proofErr w:type="gramStart"/>
      <w:r w:rsidRPr="008C7E65">
        <w:rPr>
          <w:rFonts w:cs="Arial"/>
          <w:sz w:val="20"/>
        </w:rPr>
        <w:t>médias</w:t>
      </w:r>
      <w:proofErr w:type="gramEnd"/>
      <w:r w:rsidRPr="008C7E65">
        <w:rPr>
          <w:rFonts w:cs="Arial"/>
          <w:sz w:val="20"/>
        </w:rPr>
        <w:t xml:space="preserve"> empresas com formação intraempresa</w:t>
      </w:r>
    </w:p>
    <w:p w:rsidR="00540A98" w:rsidRPr="008C7E65" w:rsidRDefault="00540A98" w:rsidP="00540A98">
      <w:pPr>
        <w:pStyle w:val="PargrafodaLista"/>
        <w:rPr>
          <w:rFonts w:cs="Arial"/>
          <w:sz w:val="20"/>
        </w:rPr>
      </w:pPr>
    </w:p>
    <w:tbl>
      <w:tblPr>
        <w:tblStyle w:val="TabelacomGrelha1"/>
        <w:tblW w:w="0" w:type="auto"/>
        <w:jc w:val="center"/>
        <w:tblLook w:val="04A0"/>
      </w:tblPr>
      <w:tblGrid>
        <w:gridCol w:w="1417"/>
        <w:gridCol w:w="1331"/>
        <w:gridCol w:w="1440"/>
        <w:gridCol w:w="1427"/>
        <w:gridCol w:w="1451"/>
        <w:gridCol w:w="1428"/>
      </w:tblGrid>
      <w:tr w:rsidR="00540A98" w:rsidRPr="008C7E65" w:rsidTr="00C36720">
        <w:trPr>
          <w:jc w:val="center"/>
        </w:trPr>
        <w:tc>
          <w:tcPr>
            <w:tcW w:w="8494" w:type="dxa"/>
            <w:gridSpan w:val="6"/>
          </w:tcPr>
          <w:p w:rsidR="00540A98" w:rsidRPr="008C7E65" w:rsidRDefault="00540A98" w:rsidP="00C36720">
            <w:pPr>
              <w:jc w:val="center"/>
              <w:rPr>
                <w:rFonts w:cs="Arial"/>
                <w:b/>
                <w:sz w:val="20"/>
              </w:rPr>
            </w:pPr>
            <w:r w:rsidRPr="008C7E65">
              <w:rPr>
                <w:rFonts w:cs="Arial"/>
                <w:b/>
                <w:sz w:val="20"/>
              </w:rPr>
              <w:t>VALORES POR TEMÁTICA</w:t>
            </w:r>
          </w:p>
        </w:tc>
      </w:tr>
      <w:tr w:rsidR="00540A98" w:rsidRPr="008C7E65" w:rsidTr="00C36720">
        <w:trPr>
          <w:jc w:val="center"/>
        </w:trPr>
        <w:tc>
          <w:tcPr>
            <w:tcW w:w="1417" w:type="dxa"/>
            <w:vMerge w:val="restart"/>
            <w:vAlign w:val="center"/>
          </w:tcPr>
          <w:p w:rsidR="00540A98" w:rsidRPr="008C7E65" w:rsidRDefault="00540A98" w:rsidP="00C36720">
            <w:pPr>
              <w:jc w:val="center"/>
              <w:rPr>
                <w:rFonts w:cs="Arial"/>
                <w:b/>
                <w:sz w:val="20"/>
              </w:rPr>
            </w:pPr>
            <w:r w:rsidRPr="008C7E65">
              <w:rPr>
                <w:rFonts w:cs="Arial"/>
                <w:b/>
                <w:sz w:val="20"/>
              </w:rPr>
              <w:t>Tipologia</w:t>
            </w:r>
          </w:p>
        </w:tc>
        <w:tc>
          <w:tcPr>
            <w:tcW w:w="1331" w:type="dxa"/>
            <w:vMerge w:val="restart"/>
            <w:vAlign w:val="center"/>
          </w:tcPr>
          <w:p w:rsidR="00540A98" w:rsidRPr="008C7E65" w:rsidRDefault="00540A98" w:rsidP="00C36720">
            <w:pPr>
              <w:jc w:val="center"/>
              <w:rPr>
                <w:rFonts w:cs="Arial"/>
                <w:b/>
                <w:sz w:val="20"/>
              </w:rPr>
            </w:pPr>
            <w:r w:rsidRPr="008C7E65">
              <w:rPr>
                <w:rFonts w:cs="Arial"/>
                <w:b/>
                <w:sz w:val="20"/>
              </w:rPr>
              <w:t>N.º Horas Formação</w:t>
            </w:r>
          </w:p>
        </w:tc>
        <w:tc>
          <w:tcPr>
            <w:tcW w:w="1440" w:type="dxa"/>
            <w:vMerge w:val="restart"/>
            <w:vAlign w:val="center"/>
          </w:tcPr>
          <w:p w:rsidR="00540A98" w:rsidRPr="008C7E65" w:rsidRDefault="00540A98" w:rsidP="00C36720">
            <w:pPr>
              <w:jc w:val="center"/>
              <w:rPr>
                <w:rFonts w:cs="Arial"/>
                <w:b/>
                <w:sz w:val="20"/>
              </w:rPr>
            </w:pPr>
            <w:r w:rsidRPr="008C7E65">
              <w:rPr>
                <w:rFonts w:cs="Arial"/>
                <w:b/>
                <w:sz w:val="20"/>
              </w:rPr>
              <w:t>N.º Horas Consultoria</w:t>
            </w:r>
          </w:p>
        </w:tc>
        <w:tc>
          <w:tcPr>
            <w:tcW w:w="4306" w:type="dxa"/>
            <w:gridSpan w:val="3"/>
          </w:tcPr>
          <w:p w:rsidR="00540A98" w:rsidRPr="008C7E65" w:rsidRDefault="00540A98" w:rsidP="00C36720">
            <w:pPr>
              <w:jc w:val="center"/>
              <w:rPr>
                <w:rFonts w:cs="Arial"/>
                <w:b/>
                <w:sz w:val="20"/>
              </w:rPr>
            </w:pPr>
            <w:r w:rsidRPr="008C7E65">
              <w:rPr>
                <w:rFonts w:cs="Arial"/>
                <w:b/>
                <w:sz w:val="20"/>
              </w:rPr>
              <w:t>N.º Trabalhadores a Abranger por Empresa</w:t>
            </w:r>
          </w:p>
        </w:tc>
      </w:tr>
      <w:tr w:rsidR="00540A98" w:rsidRPr="008C7E65" w:rsidTr="00C36720">
        <w:trPr>
          <w:jc w:val="center"/>
        </w:trPr>
        <w:tc>
          <w:tcPr>
            <w:tcW w:w="1417" w:type="dxa"/>
            <w:vMerge/>
            <w:vAlign w:val="center"/>
          </w:tcPr>
          <w:p w:rsidR="00540A98" w:rsidRPr="008C7E65" w:rsidRDefault="00540A98" w:rsidP="00C36720">
            <w:pPr>
              <w:jc w:val="center"/>
              <w:rPr>
                <w:rFonts w:cs="Arial"/>
                <w:b/>
                <w:sz w:val="20"/>
              </w:rPr>
            </w:pPr>
          </w:p>
        </w:tc>
        <w:tc>
          <w:tcPr>
            <w:tcW w:w="1331" w:type="dxa"/>
            <w:vMerge/>
            <w:vAlign w:val="center"/>
          </w:tcPr>
          <w:p w:rsidR="00540A98" w:rsidRPr="008C7E65" w:rsidRDefault="00540A98" w:rsidP="00C36720">
            <w:pPr>
              <w:jc w:val="center"/>
              <w:rPr>
                <w:rFonts w:cs="Arial"/>
                <w:b/>
                <w:sz w:val="20"/>
              </w:rPr>
            </w:pPr>
          </w:p>
        </w:tc>
        <w:tc>
          <w:tcPr>
            <w:tcW w:w="1440" w:type="dxa"/>
            <w:vMerge/>
            <w:vAlign w:val="center"/>
          </w:tcPr>
          <w:p w:rsidR="00540A98" w:rsidRPr="008C7E65" w:rsidRDefault="00540A98" w:rsidP="00C36720">
            <w:pPr>
              <w:jc w:val="center"/>
              <w:rPr>
                <w:rFonts w:cs="Arial"/>
                <w:b/>
                <w:sz w:val="20"/>
              </w:rPr>
            </w:pPr>
          </w:p>
        </w:tc>
        <w:tc>
          <w:tcPr>
            <w:tcW w:w="1427" w:type="dxa"/>
            <w:vAlign w:val="center"/>
          </w:tcPr>
          <w:p w:rsidR="00540A98" w:rsidRPr="008C7E65" w:rsidRDefault="00540A98" w:rsidP="00C36720">
            <w:pPr>
              <w:jc w:val="center"/>
              <w:rPr>
                <w:rFonts w:cs="Arial"/>
                <w:b/>
                <w:sz w:val="20"/>
              </w:rPr>
            </w:pPr>
            <w:r w:rsidRPr="008C7E65">
              <w:rPr>
                <w:rFonts w:cs="Arial"/>
                <w:b/>
                <w:sz w:val="20"/>
              </w:rPr>
              <w:t xml:space="preserve">Formação </w:t>
            </w:r>
            <w:proofErr w:type="spellStart"/>
            <w:r w:rsidRPr="008C7E65">
              <w:rPr>
                <w:rFonts w:cs="Arial"/>
                <w:b/>
                <w:sz w:val="20"/>
              </w:rPr>
              <w:lastRenderedPageBreak/>
              <w:t>Intra</w:t>
            </w:r>
            <w:proofErr w:type="spellEnd"/>
          </w:p>
        </w:tc>
        <w:tc>
          <w:tcPr>
            <w:tcW w:w="1451" w:type="dxa"/>
          </w:tcPr>
          <w:p w:rsidR="00540A98" w:rsidRPr="008C7E65" w:rsidRDefault="00540A98" w:rsidP="00C36720">
            <w:pPr>
              <w:jc w:val="center"/>
              <w:rPr>
                <w:rFonts w:cs="Arial"/>
                <w:b/>
                <w:sz w:val="20"/>
              </w:rPr>
            </w:pPr>
            <w:r w:rsidRPr="008C7E65">
              <w:rPr>
                <w:rFonts w:cs="Arial"/>
                <w:b/>
                <w:sz w:val="20"/>
              </w:rPr>
              <w:lastRenderedPageBreak/>
              <w:t xml:space="preserve">Formação </w:t>
            </w:r>
            <w:proofErr w:type="spellStart"/>
            <w:r w:rsidRPr="008C7E65">
              <w:rPr>
                <w:rFonts w:cs="Arial"/>
                <w:b/>
                <w:sz w:val="20"/>
              </w:rPr>
              <w:lastRenderedPageBreak/>
              <w:t>Inter</w:t>
            </w:r>
            <w:proofErr w:type="spellEnd"/>
          </w:p>
        </w:tc>
        <w:tc>
          <w:tcPr>
            <w:tcW w:w="1428" w:type="dxa"/>
            <w:vAlign w:val="center"/>
          </w:tcPr>
          <w:p w:rsidR="00540A98" w:rsidRPr="008C7E65" w:rsidRDefault="00540A98" w:rsidP="00C36720">
            <w:pPr>
              <w:jc w:val="center"/>
              <w:rPr>
                <w:rFonts w:cs="Arial"/>
                <w:b/>
                <w:sz w:val="20"/>
              </w:rPr>
            </w:pPr>
            <w:r w:rsidRPr="008C7E65">
              <w:rPr>
                <w:rFonts w:cs="Arial"/>
                <w:b/>
                <w:sz w:val="20"/>
              </w:rPr>
              <w:lastRenderedPageBreak/>
              <w:t>Consultoria</w:t>
            </w:r>
          </w:p>
        </w:tc>
      </w:tr>
      <w:tr w:rsidR="00540A98" w:rsidRPr="008C7E65" w:rsidTr="00C36720">
        <w:trPr>
          <w:jc w:val="center"/>
        </w:trPr>
        <w:tc>
          <w:tcPr>
            <w:tcW w:w="1417" w:type="dxa"/>
          </w:tcPr>
          <w:p w:rsidR="00540A98" w:rsidRPr="008C7E65" w:rsidRDefault="00540A98" w:rsidP="00C36720">
            <w:pPr>
              <w:rPr>
                <w:rFonts w:cs="Arial"/>
                <w:sz w:val="20"/>
              </w:rPr>
            </w:pPr>
            <w:r w:rsidRPr="008C7E65">
              <w:rPr>
                <w:rFonts w:cs="Arial"/>
                <w:sz w:val="20"/>
              </w:rPr>
              <w:lastRenderedPageBreak/>
              <w:t>Micro</w:t>
            </w:r>
          </w:p>
        </w:tc>
        <w:tc>
          <w:tcPr>
            <w:tcW w:w="1331" w:type="dxa"/>
          </w:tcPr>
          <w:p w:rsidR="00540A98" w:rsidRPr="008C7E65" w:rsidRDefault="00540A98" w:rsidP="00C36720">
            <w:pPr>
              <w:jc w:val="center"/>
              <w:rPr>
                <w:rFonts w:cs="Arial"/>
                <w:sz w:val="20"/>
              </w:rPr>
            </w:pPr>
            <w:r w:rsidRPr="008C7E65">
              <w:rPr>
                <w:rFonts w:cs="Arial"/>
                <w:sz w:val="20"/>
              </w:rPr>
              <w:t>75</w:t>
            </w:r>
          </w:p>
        </w:tc>
        <w:tc>
          <w:tcPr>
            <w:tcW w:w="1440" w:type="dxa"/>
          </w:tcPr>
          <w:p w:rsidR="00540A98" w:rsidRPr="008C7E65" w:rsidRDefault="00540A98" w:rsidP="00C36720">
            <w:pPr>
              <w:jc w:val="center"/>
              <w:rPr>
                <w:rFonts w:cs="Arial"/>
                <w:sz w:val="20"/>
              </w:rPr>
            </w:pPr>
            <w:r w:rsidRPr="008C7E65">
              <w:rPr>
                <w:rFonts w:cs="Arial"/>
                <w:sz w:val="20"/>
              </w:rPr>
              <w:t>105</w:t>
            </w:r>
          </w:p>
        </w:tc>
        <w:tc>
          <w:tcPr>
            <w:tcW w:w="1427" w:type="dxa"/>
            <w:vAlign w:val="center"/>
          </w:tcPr>
          <w:p w:rsidR="00540A98" w:rsidRPr="008C7E65" w:rsidRDefault="00540A98" w:rsidP="00C36720">
            <w:pPr>
              <w:jc w:val="center"/>
              <w:rPr>
                <w:rFonts w:cs="Arial"/>
                <w:sz w:val="20"/>
              </w:rPr>
            </w:pPr>
          </w:p>
        </w:tc>
        <w:tc>
          <w:tcPr>
            <w:tcW w:w="1451" w:type="dxa"/>
            <w:vAlign w:val="center"/>
          </w:tcPr>
          <w:p w:rsidR="00540A98" w:rsidRPr="008C7E65" w:rsidRDefault="00540A98" w:rsidP="00C36720">
            <w:pPr>
              <w:jc w:val="center"/>
              <w:rPr>
                <w:rFonts w:cs="Arial"/>
                <w:sz w:val="20"/>
              </w:rPr>
            </w:pPr>
            <w:r w:rsidRPr="008C7E65">
              <w:rPr>
                <w:rFonts w:cs="Arial"/>
                <w:sz w:val="20"/>
              </w:rPr>
              <w:t>2</w:t>
            </w:r>
          </w:p>
        </w:tc>
        <w:tc>
          <w:tcPr>
            <w:tcW w:w="1428" w:type="dxa"/>
            <w:vAlign w:val="center"/>
          </w:tcPr>
          <w:p w:rsidR="00540A98" w:rsidRPr="008C7E65" w:rsidRDefault="00540A98" w:rsidP="00C36720">
            <w:pPr>
              <w:jc w:val="center"/>
              <w:rPr>
                <w:rFonts w:cs="Arial"/>
                <w:sz w:val="20"/>
              </w:rPr>
            </w:pPr>
            <w:r w:rsidRPr="008C7E65">
              <w:rPr>
                <w:rFonts w:cs="Arial"/>
                <w:sz w:val="20"/>
              </w:rPr>
              <w:t>2</w:t>
            </w:r>
          </w:p>
        </w:tc>
      </w:tr>
      <w:tr w:rsidR="00540A98" w:rsidRPr="008C7E65" w:rsidTr="00C36720">
        <w:trPr>
          <w:jc w:val="center"/>
        </w:trPr>
        <w:tc>
          <w:tcPr>
            <w:tcW w:w="1417" w:type="dxa"/>
          </w:tcPr>
          <w:p w:rsidR="00540A98" w:rsidRPr="008C7E65" w:rsidRDefault="00540A98" w:rsidP="00C36720">
            <w:pPr>
              <w:rPr>
                <w:rFonts w:cs="Arial"/>
                <w:sz w:val="20"/>
              </w:rPr>
            </w:pPr>
            <w:r w:rsidRPr="008C7E65">
              <w:rPr>
                <w:rFonts w:cs="Arial"/>
                <w:sz w:val="20"/>
              </w:rPr>
              <w:t>Pequena</w:t>
            </w:r>
          </w:p>
        </w:tc>
        <w:tc>
          <w:tcPr>
            <w:tcW w:w="1331" w:type="dxa"/>
          </w:tcPr>
          <w:p w:rsidR="00540A98" w:rsidRPr="008C7E65" w:rsidRDefault="00540A98" w:rsidP="00C36720">
            <w:pPr>
              <w:jc w:val="center"/>
              <w:rPr>
                <w:rFonts w:cs="Arial"/>
                <w:sz w:val="20"/>
              </w:rPr>
            </w:pPr>
            <w:r w:rsidRPr="008C7E65">
              <w:rPr>
                <w:rFonts w:cs="Arial"/>
                <w:sz w:val="20"/>
              </w:rPr>
              <w:t>100</w:t>
            </w:r>
          </w:p>
        </w:tc>
        <w:tc>
          <w:tcPr>
            <w:tcW w:w="1440" w:type="dxa"/>
          </w:tcPr>
          <w:p w:rsidR="00540A98" w:rsidRPr="008C7E65" w:rsidRDefault="00540A98" w:rsidP="00C36720">
            <w:pPr>
              <w:jc w:val="center"/>
              <w:rPr>
                <w:rFonts w:cs="Arial"/>
                <w:sz w:val="20"/>
              </w:rPr>
            </w:pPr>
            <w:r w:rsidRPr="008C7E65">
              <w:rPr>
                <w:rFonts w:cs="Arial"/>
                <w:sz w:val="20"/>
              </w:rPr>
              <w:t>126</w:t>
            </w:r>
          </w:p>
        </w:tc>
        <w:tc>
          <w:tcPr>
            <w:tcW w:w="1427" w:type="dxa"/>
          </w:tcPr>
          <w:p w:rsidR="00540A98" w:rsidRPr="008C7E65" w:rsidRDefault="00540A98" w:rsidP="00C36720">
            <w:pPr>
              <w:jc w:val="center"/>
              <w:rPr>
                <w:rFonts w:cs="Arial"/>
                <w:sz w:val="20"/>
              </w:rPr>
            </w:pPr>
            <w:r w:rsidRPr="008C7E65">
              <w:rPr>
                <w:rFonts w:cs="Arial"/>
                <w:sz w:val="20"/>
              </w:rPr>
              <w:t>Mínimo 6</w:t>
            </w:r>
          </w:p>
        </w:tc>
        <w:tc>
          <w:tcPr>
            <w:tcW w:w="1451" w:type="dxa"/>
          </w:tcPr>
          <w:p w:rsidR="00540A98" w:rsidRPr="008C7E65" w:rsidRDefault="00540A98" w:rsidP="00C36720">
            <w:pPr>
              <w:jc w:val="center"/>
              <w:rPr>
                <w:rFonts w:cs="Arial"/>
                <w:sz w:val="20"/>
              </w:rPr>
            </w:pPr>
          </w:p>
        </w:tc>
        <w:tc>
          <w:tcPr>
            <w:tcW w:w="1428" w:type="dxa"/>
          </w:tcPr>
          <w:p w:rsidR="00540A98" w:rsidRPr="008C7E65" w:rsidRDefault="00540A98" w:rsidP="00C36720">
            <w:pPr>
              <w:jc w:val="center"/>
              <w:rPr>
                <w:rFonts w:cs="Arial"/>
                <w:sz w:val="20"/>
              </w:rPr>
            </w:pPr>
            <w:r w:rsidRPr="008C7E65">
              <w:rPr>
                <w:rFonts w:cs="Arial"/>
                <w:sz w:val="20"/>
              </w:rPr>
              <w:t>3</w:t>
            </w:r>
          </w:p>
        </w:tc>
      </w:tr>
      <w:tr w:rsidR="00540A98" w:rsidRPr="008C7E65" w:rsidTr="00C36720">
        <w:trPr>
          <w:jc w:val="center"/>
        </w:trPr>
        <w:tc>
          <w:tcPr>
            <w:tcW w:w="1417" w:type="dxa"/>
          </w:tcPr>
          <w:p w:rsidR="00540A98" w:rsidRPr="008C7E65" w:rsidRDefault="00540A98" w:rsidP="00C36720">
            <w:pPr>
              <w:rPr>
                <w:rFonts w:cs="Arial"/>
                <w:sz w:val="20"/>
              </w:rPr>
            </w:pPr>
            <w:r w:rsidRPr="008C7E65">
              <w:rPr>
                <w:rFonts w:cs="Arial"/>
                <w:sz w:val="20"/>
              </w:rPr>
              <w:t>Média</w:t>
            </w:r>
          </w:p>
        </w:tc>
        <w:tc>
          <w:tcPr>
            <w:tcW w:w="1331" w:type="dxa"/>
          </w:tcPr>
          <w:p w:rsidR="00540A98" w:rsidRPr="008C7E65" w:rsidRDefault="00540A98" w:rsidP="00C36720">
            <w:pPr>
              <w:jc w:val="center"/>
              <w:rPr>
                <w:rFonts w:cs="Arial"/>
                <w:sz w:val="20"/>
              </w:rPr>
            </w:pPr>
            <w:r w:rsidRPr="008C7E65">
              <w:rPr>
                <w:rFonts w:cs="Arial"/>
                <w:sz w:val="20"/>
              </w:rPr>
              <w:t>125</w:t>
            </w:r>
          </w:p>
        </w:tc>
        <w:tc>
          <w:tcPr>
            <w:tcW w:w="1440" w:type="dxa"/>
          </w:tcPr>
          <w:p w:rsidR="00540A98" w:rsidRPr="008C7E65" w:rsidRDefault="00540A98" w:rsidP="00C36720">
            <w:pPr>
              <w:jc w:val="center"/>
              <w:rPr>
                <w:rFonts w:cs="Arial"/>
                <w:sz w:val="20"/>
              </w:rPr>
            </w:pPr>
            <w:r w:rsidRPr="008C7E65">
              <w:rPr>
                <w:rFonts w:cs="Arial"/>
                <w:sz w:val="20"/>
              </w:rPr>
              <w:t>161</w:t>
            </w:r>
          </w:p>
        </w:tc>
        <w:tc>
          <w:tcPr>
            <w:tcW w:w="1427" w:type="dxa"/>
          </w:tcPr>
          <w:p w:rsidR="00540A98" w:rsidRPr="008C7E65" w:rsidRDefault="00540A98" w:rsidP="00C36720">
            <w:pPr>
              <w:jc w:val="center"/>
              <w:rPr>
                <w:rFonts w:cs="Arial"/>
                <w:sz w:val="20"/>
              </w:rPr>
            </w:pPr>
            <w:r w:rsidRPr="008C7E65">
              <w:rPr>
                <w:rFonts w:cs="Arial"/>
                <w:sz w:val="20"/>
              </w:rPr>
              <w:t>Mínimo 6</w:t>
            </w:r>
          </w:p>
        </w:tc>
        <w:tc>
          <w:tcPr>
            <w:tcW w:w="1451" w:type="dxa"/>
          </w:tcPr>
          <w:p w:rsidR="00540A98" w:rsidRPr="008C7E65" w:rsidRDefault="00540A98" w:rsidP="00C36720">
            <w:pPr>
              <w:jc w:val="center"/>
              <w:rPr>
                <w:rFonts w:cs="Arial"/>
                <w:sz w:val="20"/>
              </w:rPr>
            </w:pPr>
          </w:p>
        </w:tc>
        <w:tc>
          <w:tcPr>
            <w:tcW w:w="1428" w:type="dxa"/>
          </w:tcPr>
          <w:p w:rsidR="00540A98" w:rsidRPr="008C7E65" w:rsidRDefault="00540A98" w:rsidP="00C36720">
            <w:pPr>
              <w:jc w:val="center"/>
              <w:rPr>
                <w:rFonts w:cs="Arial"/>
                <w:sz w:val="20"/>
              </w:rPr>
            </w:pPr>
            <w:r w:rsidRPr="008C7E65">
              <w:rPr>
                <w:rFonts w:cs="Arial"/>
                <w:sz w:val="20"/>
              </w:rPr>
              <w:t>3</w:t>
            </w:r>
          </w:p>
        </w:tc>
      </w:tr>
    </w:tbl>
    <w:p w:rsidR="00540A98" w:rsidRPr="008C7E65" w:rsidRDefault="00540A98" w:rsidP="00540A98">
      <w:pPr>
        <w:rPr>
          <w:sz w:val="20"/>
        </w:rPr>
      </w:pPr>
    </w:p>
    <w:p w:rsidR="00540A98" w:rsidRPr="001F12DF" w:rsidRDefault="00540A98" w:rsidP="00540A98">
      <w:pPr>
        <w:pStyle w:val="Default"/>
        <w:spacing w:line="360" w:lineRule="auto"/>
        <w:rPr>
          <w:sz w:val="20"/>
          <w:szCs w:val="20"/>
        </w:rPr>
      </w:pPr>
      <w:r w:rsidRPr="001F12DF">
        <w:rPr>
          <w:sz w:val="20"/>
          <w:szCs w:val="20"/>
        </w:rPr>
        <w:t>As actividades a desenvolver por empresa e de acordo com a temática respectiva</w:t>
      </w:r>
      <w:r>
        <w:rPr>
          <w:sz w:val="20"/>
          <w:szCs w:val="20"/>
        </w:rPr>
        <w:t xml:space="preserve"> nos lotes acima indicados</w:t>
      </w:r>
      <w:r w:rsidRPr="001F12DF">
        <w:rPr>
          <w:sz w:val="20"/>
          <w:szCs w:val="20"/>
        </w:rPr>
        <w:t xml:space="preserve">, serão as seguintes: </w:t>
      </w:r>
    </w:p>
    <w:p w:rsidR="0062554F" w:rsidRPr="001F12DF" w:rsidRDefault="0062554F" w:rsidP="001F12DF">
      <w:pPr>
        <w:pStyle w:val="Default"/>
        <w:spacing w:line="360" w:lineRule="auto"/>
        <w:rPr>
          <w:sz w:val="20"/>
          <w:szCs w:val="20"/>
        </w:rPr>
      </w:pPr>
      <w:r w:rsidRPr="001F12DF">
        <w:rPr>
          <w:sz w:val="20"/>
          <w:szCs w:val="20"/>
        </w:rPr>
        <w:t xml:space="preserve"> </w:t>
      </w:r>
    </w:p>
    <w:p w:rsidR="0062554F" w:rsidRPr="001F12DF" w:rsidRDefault="0062554F" w:rsidP="001F12DF">
      <w:pPr>
        <w:pStyle w:val="Default"/>
        <w:spacing w:line="360" w:lineRule="auto"/>
        <w:rPr>
          <w:sz w:val="20"/>
          <w:szCs w:val="20"/>
        </w:rPr>
      </w:pPr>
      <w:r w:rsidRPr="001F12DF">
        <w:rPr>
          <w:b/>
          <w:bCs/>
          <w:sz w:val="20"/>
          <w:szCs w:val="20"/>
        </w:rPr>
        <w:t xml:space="preserve">Fase1 </w:t>
      </w:r>
    </w:p>
    <w:p w:rsidR="0062554F" w:rsidRPr="001F12DF" w:rsidRDefault="0062554F" w:rsidP="001F12DF">
      <w:pPr>
        <w:pStyle w:val="Default"/>
        <w:spacing w:line="360" w:lineRule="auto"/>
        <w:rPr>
          <w:sz w:val="20"/>
          <w:szCs w:val="20"/>
        </w:rPr>
      </w:pPr>
      <w:r w:rsidRPr="001F12DF">
        <w:rPr>
          <w:b/>
          <w:bCs/>
          <w:sz w:val="20"/>
          <w:szCs w:val="20"/>
        </w:rPr>
        <w:t xml:space="preserve">Diagnóstico e Definição do Plano de Acção </w:t>
      </w:r>
    </w:p>
    <w:p w:rsidR="0062554F" w:rsidRDefault="0062554F" w:rsidP="001F12DF">
      <w:pPr>
        <w:rPr>
          <w:rFonts w:cs="Arial"/>
          <w:sz w:val="20"/>
        </w:rPr>
      </w:pPr>
      <w:r w:rsidRPr="001F12DF">
        <w:rPr>
          <w:rFonts w:cs="Arial"/>
          <w:sz w:val="20"/>
        </w:rPr>
        <w:t>Esta fase deverá ser realizada com base numa ferramenta de diagnóst</w:t>
      </w:r>
      <w:r w:rsidR="00AF3B8F">
        <w:rPr>
          <w:rFonts w:cs="Arial"/>
          <w:sz w:val="20"/>
        </w:rPr>
        <w:t xml:space="preserve">ico a validar pela Associação </w:t>
      </w:r>
      <w:r w:rsidRPr="001F12DF">
        <w:rPr>
          <w:rFonts w:cs="Arial"/>
          <w:sz w:val="20"/>
        </w:rPr>
        <w:t>de forma a garantir os resultados pretendidos, onde serão analisados os pontos fracos/fortes no domínio da temática a intervir, definidos os objectivos e as medidas a implementar, quer a nível de formação (</w:t>
      </w:r>
      <w:proofErr w:type="spellStart"/>
      <w:r w:rsidRPr="001F12DF">
        <w:rPr>
          <w:rFonts w:cs="Arial"/>
          <w:sz w:val="20"/>
        </w:rPr>
        <w:t>inter</w:t>
      </w:r>
      <w:proofErr w:type="spellEnd"/>
      <w:r w:rsidRPr="001F12DF">
        <w:rPr>
          <w:rFonts w:cs="Arial"/>
          <w:sz w:val="20"/>
        </w:rPr>
        <w:t xml:space="preserve"> ou </w:t>
      </w:r>
      <w:proofErr w:type="spellStart"/>
      <w:r w:rsidRPr="001F12DF">
        <w:rPr>
          <w:rFonts w:cs="Arial"/>
          <w:sz w:val="20"/>
        </w:rPr>
        <w:t>intraempresa</w:t>
      </w:r>
      <w:proofErr w:type="spellEnd"/>
      <w:r w:rsidRPr="001F12DF">
        <w:rPr>
          <w:rFonts w:cs="Arial"/>
          <w:sz w:val="20"/>
        </w:rPr>
        <w:t xml:space="preserve">), quer a nível de consultoria formativa, bem como o cronograma de toda a intervenção. </w:t>
      </w:r>
    </w:p>
    <w:p w:rsidR="001F12DF" w:rsidRPr="001F12DF" w:rsidRDefault="001F12DF" w:rsidP="001F12DF">
      <w:pPr>
        <w:rPr>
          <w:rFonts w:cs="Arial"/>
          <w:sz w:val="20"/>
        </w:rPr>
      </w:pPr>
    </w:p>
    <w:p w:rsidR="001057F0" w:rsidRPr="001F12DF" w:rsidRDefault="001057F0" w:rsidP="001F12DF">
      <w:pPr>
        <w:pStyle w:val="Default"/>
        <w:spacing w:line="360" w:lineRule="auto"/>
        <w:rPr>
          <w:sz w:val="20"/>
          <w:szCs w:val="20"/>
        </w:rPr>
      </w:pPr>
      <w:r w:rsidRPr="001F12DF">
        <w:rPr>
          <w:b/>
          <w:bCs/>
          <w:sz w:val="20"/>
          <w:szCs w:val="20"/>
        </w:rPr>
        <w:t xml:space="preserve">Fase2 </w:t>
      </w:r>
    </w:p>
    <w:p w:rsidR="001057F0" w:rsidRPr="001F12DF" w:rsidRDefault="001057F0" w:rsidP="001F12DF">
      <w:pPr>
        <w:pStyle w:val="Default"/>
        <w:spacing w:line="360" w:lineRule="auto"/>
        <w:rPr>
          <w:sz w:val="20"/>
          <w:szCs w:val="20"/>
        </w:rPr>
      </w:pPr>
      <w:r w:rsidRPr="001F12DF">
        <w:rPr>
          <w:b/>
          <w:bCs/>
          <w:sz w:val="20"/>
          <w:szCs w:val="20"/>
        </w:rPr>
        <w:t xml:space="preserve">Implementação e Acompanhamento do Plano de Acção </w:t>
      </w:r>
    </w:p>
    <w:p w:rsidR="001057F0" w:rsidRDefault="001057F0" w:rsidP="001F12DF">
      <w:pPr>
        <w:rPr>
          <w:rFonts w:cs="Arial"/>
          <w:sz w:val="20"/>
        </w:rPr>
      </w:pPr>
      <w:r w:rsidRPr="001F12DF">
        <w:rPr>
          <w:rFonts w:cs="Arial"/>
          <w:sz w:val="20"/>
        </w:rPr>
        <w:t xml:space="preserve">De acordo com o cronograma estabelecido e as horas definidas para cada tipologia de empresa, recorrendo a equipas especializadas, será implementado o Plano de Acção. </w:t>
      </w:r>
    </w:p>
    <w:p w:rsidR="001F12DF" w:rsidRPr="001F12DF" w:rsidRDefault="001F12DF" w:rsidP="001F12DF">
      <w:pPr>
        <w:rPr>
          <w:rFonts w:cs="Arial"/>
          <w:sz w:val="20"/>
        </w:rPr>
      </w:pPr>
    </w:p>
    <w:p w:rsidR="001057F0" w:rsidRPr="001F12DF" w:rsidRDefault="001057F0" w:rsidP="001F12DF">
      <w:pPr>
        <w:pStyle w:val="Default"/>
        <w:spacing w:line="360" w:lineRule="auto"/>
        <w:rPr>
          <w:sz w:val="20"/>
          <w:szCs w:val="20"/>
        </w:rPr>
      </w:pPr>
      <w:r w:rsidRPr="001F12DF">
        <w:rPr>
          <w:b/>
          <w:bCs/>
          <w:sz w:val="20"/>
          <w:szCs w:val="20"/>
        </w:rPr>
        <w:t xml:space="preserve">Fase3 </w:t>
      </w:r>
    </w:p>
    <w:p w:rsidR="001057F0" w:rsidRPr="001F12DF" w:rsidRDefault="001057F0" w:rsidP="001F12DF">
      <w:pPr>
        <w:pStyle w:val="Default"/>
        <w:spacing w:line="360" w:lineRule="auto"/>
        <w:rPr>
          <w:sz w:val="20"/>
          <w:szCs w:val="20"/>
        </w:rPr>
      </w:pPr>
      <w:r w:rsidRPr="001F12DF">
        <w:rPr>
          <w:b/>
          <w:bCs/>
          <w:sz w:val="20"/>
          <w:szCs w:val="20"/>
        </w:rPr>
        <w:t xml:space="preserve">Avaliação de Resultados/Melhorias Implementadas </w:t>
      </w:r>
    </w:p>
    <w:p w:rsidR="001057F0" w:rsidRPr="001F12DF" w:rsidRDefault="001057F0" w:rsidP="001F12DF">
      <w:pPr>
        <w:rPr>
          <w:rFonts w:cs="Arial"/>
          <w:sz w:val="20"/>
        </w:rPr>
      </w:pPr>
      <w:r w:rsidRPr="001F12DF">
        <w:rPr>
          <w:rFonts w:cs="Arial"/>
          <w:sz w:val="20"/>
        </w:rPr>
        <w:t>Este será o momento em que se avaliará a execução do projecto, sendo efectuado um balanço do progresso evolutivo da empresa. O Modelo de Avaliação dos resultados</w:t>
      </w:r>
      <w:proofErr w:type="gramStart"/>
      <w:r w:rsidRPr="001F12DF">
        <w:rPr>
          <w:rFonts w:cs="Arial"/>
          <w:sz w:val="20"/>
        </w:rPr>
        <w:t>,</w:t>
      </w:r>
      <w:proofErr w:type="gramEnd"/>
      <w:r w:rsidRPr="001F12DF">
        <w:rPr>
          <w:rFonts w:cs="Arial"/>
          <w:sz w:val="20"/>
        </w:rPr>
        <w:t xml:space="preserve"> assentará em questionários passados aos formandos e empresários, entrevista presencial e num relatório final em que serão tidas em linha de conta as avaliações de todos os intervenientes: consultores; formadores; empresário e colaboradores, no sentido de aferir se os objectivos definidos em Plano de Acção foram ou não atingidos, nomeadamente: número de colaboradores que receberam formação e o impacto da mesma em contexto de trabalho; taxa de execução das medidas previstas no Plano de Acção e melhorias organizacionais implementadas na empresa decorrentes do projecto. Será também elaborado um Plano de Médio/Longo prazo para a empresa, por forma a dar continuidade aos resultados alcançados. Todas as ferramentas a utilizar nesta fase deverão ser validadas pela Associação de forma a garantir os resultados pretendidos. </w:t>
      </w:r>
    </w:p>
    <w:p w:rsidR="001057F0" w:rsidRPr="001F12DF" w:rsidRDefault="001057F0" w:rsidP="001F12DF">
      <w:pPr>
        <w:rPr>
          <w:rFonts w:cs="Arial"/>
          <w:b/>
          <w:sz w:val="20"/>
        </w:rPr>
      </w:pPr>
    </w:p>
    <w:p w:rsidR="0082415D" w:rsidRPr="001F12DF" w:rsidRDefault="0082415D" w:rsidP="001F12DF">
      <w:pPr>
        <w:pStyle w:val="Default"/>
        <w:spacing w:line="360" w:lineRule="auto"/>
        <w:jc w:val="center"/>
        <w:rPr>
          <w:b/>
          <w:sz w:val="20"/>
          <w:szCs w:val="20"/>
        </w:rPr>
      </w:pPr>
      <w:r w:rsidRPr="001F12DF">
        <w:rPr>
          <w:b/>
          <w:sz w:val="20"/>
          <w:szCs w:val="20"/>
        </w:rPr>
        <w:t>Cláusula 4.ª</w:t>
      </w:r>
    </w:p>
    <w:p w:rsidR="0082415D" w:rsidRPr="001F12DF" w:rsidRDefault="0082415D" w:rsidP="001F12DF">
      <w:pPr>
        <w:pStyle w:val="Default"/>
        <w:spacing w:line="360" w:lineRule="auto"/>
        <w:jc w:val="center"/>
        <w:rPr>
          <w:b/>
          <w:sz w:val="20"/>
          <w:szCs w:val="20"/>
        </w:rPr>
      </w:pPr>
      <w:r w:rsidRPr="001F12DF">
        <w:rPr>
          <w:b/>
          <w:sz w:val="20"/>
          <w:szCs w:val="20"/>
        </w:rPr>
        <w:t>Objetivos Específicos</w:t>
      </w:r>
    </w:p>
    <w:p w:rsidR="0082415D" w:rsidRDefault="0082415D" w:rsidP="001F12DF">
      <w:pPr>
        <w:pStyle w:val="Default"/>
        <w:spacing w:line="360" w:lineRule="auto"/>
        <w:jc w:val="both"/>
        <w:rPr>
          <w:sz w:val="20"/>
          <w:szCs w:val="20"/>
        </w:rPr>
      </w:pPr>
      <w:r w:rsidRPr="001F12DF">
        <w:rPr>
          <w:sz w:val="20"/>
          <w:szCs w:val="20"/>
        </w:rPr>
        <w:t xml:space="preserve">As actividades a desenvolver com o presente Projecto Conjunto de </w:t>
      </w:r>
      <w:proofErr w:type="spellStart"/>
      <w:r w:rsidRPr="001F12DF">
        <w:rPr>
          <w:sz w:val="20"/>
          <w:szCs w:val="20"/>
        </w:rPr>
        <w:t>Formação-Acção</w:t>
      </w:r>
      <w:proofErr w:type="spellEnd"/>
      <w:r w:rsidRPr="001F12DF">
        <w:rPr>
          <w:sz w:val="20"/>
          <w:szCs w:val="20"/>
        </w:rPr>
        <w:t>, visam reforçar a competitividade d</w:t>
      </w:r>
      <w:r w:rsidR="00981A56">
        <w:rPr>
          <w:sz w:val="20"/>
          <w:szCs w:val="20"/>
        </w:rPr>
        <w:t xml:space="preserve">as </w:t>
      </w:r>
      <w:r w:rsidRPr="001F12DF">
        <w:rPr>
          <w:sz w:val="20"/>
          <w:szCs w:val="20"/>
        </w:rPr>
        <w:t xml:space="preserve">Micro e PME´S da </w:t>
      </w:r>
      <w:r w:rsidR="00AF3B8F">
        <w:rPr>
          <w:sz w:val="20"/>
          <w:szCs w:val="20"/>
        </w:rPr>
        <w:t>r</w:t>
      </w:r>
      <w:r w:rsidRPr="001F12DF">
        <w:rPr>
          <w:sz w:val="20"/>
          <w:szCs w:val="20"/>
        </w:rPr>
        <w:t xml:space="preserve">egião através do aumento da qualificação </w:t>
      </w:r>
      <w:r w:rsidRPr="001F12DF">
        <w:rPr>
          <w:sz w:val="20"/>
          <w:szCs w:val="20"/>
        </w:rPr>
        <w:lastRenderedPageBreak/>
        <w:t xml:space="preserve">dos seus colaboradores em domínios relevantes para a estratégia de inovação, internacionalização e modernização, aumento da capacidade de gestão das empresas para empreenderem processos de mudança/inovação e promoção de acções de dinamização e sensibilização para a mudança e intercâmbio de boas práticas. </w:t>
      </w:r>
    </w:p>
    <w:p w:rsidR="001F12DF" w:rsidRPr="001F12DF" w:rsidRDefault="001F12DF" w:rsidP="001F12DF">
      <w:pPr>
        <w:pStyle w:val="Default"/>
        <w:spacing w:line="360" w:lineRule="auto"/>
        <w:jc w:val="both"/>
        <w:rPr>
          <w:sz w:val="20"/>
          <w:szCs w:val="20"/>
        </w:rPr>
      </w:pPr>
    </w:p>
    <w:p w:rsidR="0082415D" w:rsidRPr="001F12DF" w:rsidRDefault="0082415D" w:rsidP="001F12DF">
      <w:pPr>
        <w:pStyle w:val="Default"/>
        <w:widowControl w:val="0"/>
        <w:spacing w:line="360" w:lineRule="auto"/>
        <w:jc w:val="center"/>
        <w:rPr>
          <w:sz w:val="20"/>
          <w:szCs w:val="20"/>
        </w:rPr>
      </w:pPr>
      <w:r w:rsidRPr="001F12DF">
        <w:rPr>
          <w:b/>
          <w:bCs/>
          <w:sz w:val="20"/>
          <w:szCs w:val="20"/>
        </w:rPr>
        <w:t>Capítulo II</w:t>
      </w:r>
    </w:p>
    <w:p w:rsidR="0082415D" w:rsidRPr="001F12DF" w:rsidRDefault="0082415D" w:rsidP="001F12DF">
      <w:pPr>
        <w:pStyle w:val="Default"/>
        <w:spacing w:line="360" w:lineRule="auto"/>
        <w:jc w:val="center"/>
        <w:rPr>
          <w:sz w:val="20"/>
          <w:szCs w:val="20"/>
        </w:rPr>
      </w:pPr>
      <w:r w:rsidRPr="001F12DF">
        <w:rPr>
          <w:b/>
          <w:bCs/>
          <w:sz w:val="20"/>
          <w:szCs w:val="20"/>
        </w:rPr>
        <w:t>Valor Base, preços e contrato</w:t>
      </w:r>
    </w:p>
    <w:p w:rsidR="00C50C38" w:rsidRDefault="00C50C38" w:rsidP="00C50C38">
      <w:pPr>
        <w:pStyle w:val="Default"/>
        <w:spacing w:line="360" w:lineRule="auto"/>
        <w:jc w:val="center"/>
        <w:rPr>
          <w:b/>
          <w:sz w:val="20"/>
          <w:szCs w:val="20"/>
        </w:rPr>
      </w:pPr>
    </w:p>
    <w:p w:rsidR="0082415D" w:rsidRPr="001F12DF" w:rsidRDefault="0082415D" w:rsidP="00C50C38">
      <w:pPr>
        <w:pStyle w:val="Default"/>
        <w:spacing w:line="360" w:lineRule="auto"/>
        <w:jc w:val="center"/>
        <w:rPr>
          <w:b/>
          <w:sz w:val="20"/>
          <w:szCs w:val="20"/>
        </w:rPr>
      </w:pPr>
      <w:r w:rsidRPr="001F12DF">
        <w:rPr>
          <w:b/>
          <w:sz w:val="20"/>
          <w:szCs w:val="20"/>
        </w:rPr>
        <w:t>Cláusula 5.ª</w:t>
      </w:r>
    </w:p>
    <w:p w:rsidR="0082415D" w:rsidRPr="004D225D" w:rsidRDefault="0082415D" w:rsidP="00C50C38">
      <w:pPr>
        <w:pStyle w:val="Default"/>
        <w:spacing w:line="360" w:lineRule="auto"/>
        <w:jc w:val="center"/>
        <w:rPr>
          <w:b/>
          <w:sz w:val="20"/>
          <w:szCs w:val="20"/>
        </w:rPr>
      </w:pPr>
      <w:r w:rsidRPr="004D225D">
        <w:rPr>
          <w:b/>
          <w:sz w:val="20"/>
          <w:szCs w:val="20"/>
        </w:rPr>
        <w:t>Valor Base e Valor Contratual</w:t>
      </w:r>
    </w:p>
    <w:p w:rsidR="0082415D" w:rsidRDefault="0082415D" w:rsidP="001F12DF">
      <w:pPr>
        <w:pStyle w:val="Default"/>
        <w:numPr>
          <w:ilvl w:val="0"/>
          <w:numId w:val="4"/>
        </w:numPr>
        <w:spacing w:line="360" w:lineRule="auto"/>
        <w:ind w:left="426"/>
        <w:jc w:val="both"/>
        <w:rPr>
          <w:sz w:val="20"/>
          <w:szCs w:val="20"/>
        </w:rPr>
      </w:pPr>
      <w:r w:rsidRPr="004D225D">
        <w:rPr>
          <w:sz w:val="20"/>
          <w:szCs w:val="20"/>
        </w:rPr>
        <w:t xml:space="preserve">O preço base </w:t>
      </w:r>
      <w:r w:rsidR="00981A56" w:rsidRPr="004D225D">
        <w:rPr>
          <w:sz w:val="20"/>
          <w:szCs w:val="20"/>
        </w:rPr>
        <w:t xml:space="preserve">do lote 1 </w:t>
      </w:r>
      <w:r w:rsidRPr="004D225D">
        <w:rPr>
          <w:sz w:val="20"/>
          <w:szCs w:val="20"/>
        </w:rPr>
        <w:t>é de</w:t>
      </w:r>
      <w:r w:rsidR="00DD0712" w:rsidRPr="00C400B3">
        <w:rPr>
          <w:b/>
          <w:sz w:val="20"/>
          <w:szCs w:val="20"/>
        </w:rPr>
        <w:t xml:space="preserve"> </w:t>
      </w:r>
      <w:r w:rsidR="00C400B3" w:rsidRPr="00C400B3">
        <w:rPr>
          <w:b/>
          <w:sz w:val="20"/>
          <w:szCs w:val="20"/>
        </w:rPr>
        <w:t>206</w:t>
      </w:r>
      <w:r w:rsidR="00DD0712" w:rsidRPr="00C400B3">
        <w:rPr>
          <w:b/>
          <w:sz w:val="20"/>
          <w:szCs w:val="20"/>
        </w:rPr>
        <w:t>.</w:t>
      </w:r>
      <w:r w:rsidR="00C400B3" w:rsidRPr="00C400B3">
        <w:rPr>
          <w:b/>
          <w:sz w:val="20"/>
          <w:szCs w:val="20"/>
        </w:rPr>
        <w:t>393</w:t>
      </w:r>
      <w:r w:rsidR="00DD0712" w:rsidRPr="00C400B3">
        <w:rPr>
          <w:b/>
          <w:sz w:val="20"/>
          <w:szCs w:val="20"/>
        </w:rPr>
        <w:t>,</w:t>
      </w:r>
      <w:r w:rsidR="00C400B3" w:rsidRPr="00C400B3">
        <w:rPr>
          <w:b/>
          <w:sz w:val="20"/>
          <w:szCs w:val="20"/>
        </w:rPr>
        <w:t>7</w:t>
      </w:r>
      <w:r w:rsidR="00C400B3">
        <w:rPr>
          <w:b/>
          <w:sz w:val="20"/>
          <w:szCs w:val="20"/>
        </w:rPr>
        <w:t>5</w:t>
      </w:r>
      <w:r w:rsidR="00DD0712" w:rsidRPr="002866EB">
        <w:rPr>
          <w:b/>
          <w:sz w:val="20"/>
          <w:szCs w:val="20"/>
        </w:rPr>
        <w:t>€, (</w:t>
      </w:r>
      <w:r w:rsidR="00C400B3">
        <w:rPr>
          <w:b/>
          <w:sz w:val="20"/>
          <w:szCs w:val="20"/>
        </w:rPr>
        <w:t xml:space="preserve">Duzentos e seis </w:t>
      </w:r>
      <w:r w:rsidR="00DD0712" w:rsidRPr="002866EB">
        <w:rPr>
          <w:b/>
          <w:sz w:val="20"/>
          <w:szCs w:val="20"/>
        </w:rPr>
        <w:t xml:space="preserve">mil, </w:t>
      </w:r>
      <w:r w:rsidR="00C400B3">
        <w:rPr>
          <w:b/>
          <w:sz w:val="20"/>
          <w:szCs w:val="20"/>
        </w:rPr>
        <w:t xml:space="preserve">trezentos e noventa e três </w:t>
      </w:r>
      <w:r w:rsidR="00DD0712" w:rsidRPr="002866EB">
        <w:rPr>
          <w:b/>
          <w:sz w:val="20"/>
          <w:szCs w:val="20"/>
        </w:rPr>
        <w:t>euro</w:t>
      </w:r>
      <w:r w:rsidR="00DD0712">
        <w:rPr>
          <w:b/>
          <w:sz w:val="20"/>
          <w:szCs w:val="20"/>
        </w:rPr>
        <w:t xml:space="preserve"> e </w:t>
      </w:r>
      <w:r w:rsidR="00C400B3">
        <w:rPr>
          <w:b/>
          <w:sz w:val="20"/>
          <w:szCs w:val="20"/>
        </w:rPr>
        <w:t>setenta e cinco</w:t>
      </w:r>
      <w:r w:rsidR="00DD0712">
        <w:rPr>
          <w:b/>
          <w:sz w:val="20"/>
          <w:szCs w:val="20"/>
        </w:rPr>
        <w:t xml:space="preserve"> cêntimos</w:t>
      </w:r>
      <w:r w:rsidR="00DD0712" w:rsidRPr="002866EB">
        <w:rPr>
          <w:b/>
          <w:sz w:val="20"/>
          <w:szCs w:val="20"/>
        </w:rPr>
        <w:t>)</w:t>
      </w:r>
      <w:r w:rsidRPr="004D225D">
        <w:rPr>
          <w:sz w:val="20"/>
          <w:szCs w:val="20"/>
        </w:rPr>
        <w:t>, acrescido de IVA à taxa legal em vigor, se aplicável.</w:t>
      </w:r>
      <w:r w:rsidR="00981A56" w:rsidRPr="004D225D">
        <w:rPr>
          <w:sz w:val="20"/>
          <w:szCs w:val="20"/>
        </w:rPr>
        <w:t xml:space="preserve"> O preço base do lote 2 é de</w:t>
      </w:r>
      <w:r w:rsidR="00DD0712">
        <w:rPr>
          <w:sz w:val="20"/>
          <w:szCs w:val="20"/>
        </w:rPr>
        <w:t xml:space="preserve"> </w:t>
      </w:r>
      <w:r w:rsidR="00DD0712" w:rsidRPr="002866EB">
        <w:rPr>
          <w:b/>
          <w:sz w:val="20"/>
          <w:szCs w:val="20"/>
        </w:rPr>
        <w:t>1</w:t>
      </w:r>
      <w:r w:rsidR="00DD0712">
        <w:rPr>
          <w:b/>
          <w:sz w:val="20"/>
          <w:szCs w:val="20"/>
        </w:rPr>
        <w:t>8</w:t>
      </w:r>
      <w:r w:rsidR="00C400B3">
        <w:rPr>
          <w:b/>
          <w:sz w:val="20"/>
          <w:szCs w:val="20"/>
        </w:rPr>
        <w:t>1</w:t>
      </w:r>
      <w:r w:rsidR="00DD0712" w:rsidRPr="002866EB">
        <w:rPr>
          <w:b/>
          <w:sz w:val="20"/>
          <w:szCs w:val="20"/>
        </w:rPr>
        <w:t>.</w:t>
      </w:r>
      <w:r w:rsidR="00DD0712">
        <w:rPr>
          <w:b/>
          <w:sz w:val="20"/>
          <w:szCs w:val="20"/>
        </w:rPr>
        <w:t>875</w:t>
      </w:r>
      <w:r w:rsidR="00DD0712" w:rsidRPr="002866EB">
        <w:rPr>
          <w:b/>
          <w:sz w:val="20"/>
          <w:szCs w:val="20"/>
        </w:rPr>
        <w:t>,</w:t>
      </w:r>
      <w:r w:rsidR="00DD0712">
        <w:rPr>
          <w:b/>
          <w:sz w:val="20"/>
          <w:szCs w:val="20"/>
        </w:rPr>
        <w:t>0</w:t>
      </w:r>
      <w:r w:rsidR="00DD0712" w:rsidRPr="002866EB">
        <w:rPr>
          <w:b/>
          <w:sz w:val="20"/>
          <w:szCs w:val="20"/>
        </w:rPr>
        <w:t xml:space="preserve">0€, (cento e </w:t>
      </w:r>
      <w:r w:rsidR="00DD0712">
        <w:rPr>
          <w:b/>
          <w:sz w:val="20"/>
          <w:szCs w:val="20"/>
        </w:rPr>
        <w:t xml:space="preserve">oitenta e </w:t>
      </w:r>
      <w:r w:rsidR="00C400B3">
        <w:rPr>
          <w:b/>
          <w:sz w:val="20"/>
          <w:szCs w:val="20"/>
        </w:rPr>
        <w:t>um</w:t>
      </w:r>
      <w:r w:rsidR="00DD0712">
        <w:rPr>
          <w:b/>
          <w:sz w:val="20"/>
          <w:szCs w:val="20"/>
        </w:rPr>
        <w:t xml:space="preserve"> mil</w:t>
      </w:r>
      <w:r w:rsidR="00DD0712" w:rsidRPr="002866EB">
        <w:rPr>
          <w:b/>
          <w:sz w:val="20"/>
          <w:szCs w:val="20"/>
        </w:rPr>
        <w:t xml:space="preserve">, </w:t>
      </w:r>
      <w:r w:rsidR="00DD0712">
        <w:rPr>
          <w:b/>
          <w:sz w:val="20"/>
          <w:szCs w:val="20"/>
        </w:rPr>
        <w:t>oitocentos e sete</w:t>
      </w:r>
      <w:r w:rsidR="00DD0712" w:rsidRPr="002866EB">
        <w:rPr>
          <w:b/>
          <w:sz w:val="20"/>
          <w:szCs w:val="20"/>
        </w:rPr>
        <w:t>nt</w:t>
      </w:r>
      <w:r w:rsidR="00DD0712">
        <w:rPr>
          <w:b/>
          <w:sz w:val="20"/>
          <w:szCs w:val="20"/>
        </w:rPr>
        <w:t>a</w:t>
      </w:r>
      <w:r w:rsidR="00DD0712" w:rsidRPr="002866EB">
        <w:rPr>
          <w:b/>
          <w:sz w:val="20"/>
          <w:szCs w:val="20"/>
        </w:rPr>
        <w:t xml:space="preserve"> e </w:t>
      </w:r>
      <w:r w:rsidR="00DD0712">
        <w:rPr>
          <w:b/>
          <w:sz w:val="20"/>
          <w:szCs w:val="20"/>
        </w:rPr>
        <w:t>cinco</w:t>
      </w:r>
      <w:r w:rsidR="00DD0712" w:rsidRPr="002866EB">
        <w:rPr>
          <w:b/>
          <w:sz w:val="20"/>
          <w:szCs w:val="20"/>
        </w:rPr>
        <w:t xml:space="preserve"> euro)</w:t>
      </w:r>
      <w:r w:rsidR="00981A56" w:rsidRPr="004D225D">
        <w:rPr>
          <w:sz w:val="20"/>
          <w:szCs w:val="20"/>
        </w:rPr>
        <w:t>, acrescido de IVA à taxa legal em vigor, se aplicável.</w:t>
      </w:r>
      <w:r w:rsidRPr="004D225D">
        <w:rPr>
          <w:sz w:val="20"/>
          <w:szCs w:val="20"/>
        </w:rPr>
        <w:t xml:space="preserve"> A formação do preço deve atender aos</w:t>
      </w:r>
      <w:r w:rsidRPr="001F12DF">
        <w:rPr>
          <w:sz w:val="20"/>
          <w:szCs w:val="20"/>
        </w:rPr>
        <w:t xml:space="preserve"> limites de elegibilidade de despesas nos termos do Artigo 14ºda Portaria nº60-A/2015 de 2 de Março e da alínea b) do nº8 do</w:t>
      </w:r>
      <w:r w:rsidR="00981A56" w:rsidRPr="00981A56">
        <w:rPr>
          <w:sz w:val="20"/>
          <w:szCs w:val="20"/>
        </w:rPr>
        <w:t xml:space="preserve"> </w:t>
      </w:r>
      <w:r w:rsidR="00981A56" w:rsidRPr="001F12DF">
        <w:rPr>
          <w:sz w:val="20"/>
          <w:szCs w:val="20"/>
        </w:rPr>
        <w:t>Aviso nº</w:t>
      </w:r>
      <w:r w:rsidR="00C848F7">
        <w:rPr>
          <w:sz w:val="20"/>
          <w:szCs w:val="20"/>
        </w:rPr>
        <w:t>08</w:t>
      </w:r>
      <w:r w:rsidR="00981A56" w:rsidRPr="001F12DF">
        <w:rPr>
          <w:sz w:val="20"/>
          <w:szCs w:val="20"/>
        </w:rPr>
        <w:t>/SI/2019</w:t>
      </w:r>
      <w:r w:rsidRPr="001F12DF">
        <w:rPr>
          <w:sz w:val="20"/>
          <w:szCs w:val="20"/>
        </w:rPr>
        <w:t xml:space="preserve"> </w:t>
      </w:r>
      <w:r w:rsidR="00981A56">
        <w:rPr>
          <w:sz w:val="20"/>
          <w:szCs w:val="20"/>
        </w:rPr>
        <w:t xml:space="preserve">e </w:t>
      </w:r>
      <w:r w:rsidRPr="001F12DF">
        <w:rPr>
          <w:sz w:val="20"/>
          <w:szCs w:val="20"/>
        </w:rPr>
        <w:t>Aviso nº</w:t>
      </w:r>
      <w:r w:rsidR="001057F0" w:rsidRPr="001F12DF">
        <w:rPr>
          <w:sz w:val="20"/>
          <w:szCs w:val="20"/>
        </w:rPr>
        <w:t>1</w:t>
      </w:r>
      <w:r w:rsidR="00C848F7">
        <w:rPr>
          <w:sz w:val="20"/>
          <w:szCs w:val="20"/>
        </w:rPr>
        <w:t>1</w:t>
      </w:r>
      <w:r w:rsidRPr="001F12DF">
        <w:rPr>
          <w:sz w:val="20"/>
          <w:szCs w:val="20"/>
        </w:rPr>
        <w:t>/SI/201</w:t>
      </w:r>
      <w:r w:rsidR="001057F0" w:rsidRPr="001F12DF">
        <w:rPr>
          <w:sz w:val="20"/>
          <w:szCs w:val="20"/>
        </w:rPr>
        <w:t>9</w:t>
      </w:r>
      <w:r w:rsidRPr="001F12DF">
        <w:rPr>
          <w:sz w:val="20"/>
          <w:szCs w:val="20"/>
        </w:rPr>
        <w:t xml:space="preserve">, </w:t>
      </w:r>
      <w:r w:rsidR="00981A56">
        <w:rPr>
          <w:sz w:val="20"/>
          <w:szCs w:val="20"/>
        </w:rPr>
        <w:t xml:space="preserve">respectivamente, </w:t>
      </w:r>
      <w:r w:rsidRPr="001F12DF">
        <w:rPr>
          <w:sz w:val="20"/>
          <w:szCs w:val="20"/>
        </w:rPr>
        <w:t xml:space="preserve">discriminando: </w:t>
      </w:r>
    </w:p>
    <w:p w:rsidR="0082415D" w:rsidRPr="001F12DF" w:rsidRDefault="0082415D" w:rsidP="001F12DF">
      <w:pPr>
        <w:pStyle w:val="Default"/>
        <w:numPr>
          <w:ilvl w:val="1"/>
          <w:numId w:val="5"/>
        </w:numPr>
        <w:spacing w:line="360" w:lineRule="auto"/>
        <w:ind w:left="993"/>
        <w:jc w:val="both"/>
        <w:rPr>
          <w:sz w:val="20"/>
          <w:szCs w:val="20"/>
        </w:rPr>
      </w:pPr>
      <w:r w:rsidRPr="001F12DF">
        <w:rPr>
          <w:sz w:val="20"/>
          <w:szCs w:val="20"/>
        </w:rPr>
        <w:t xml:space="preserve">Número de horas </w:t>
      </w:r>
      <w:r w:rsidR="00AF3B8F">
        <w:rPr>
          <w:sz w:val="20"/>
          <w:szCs w:val="20"/>
        </w:rPr>
        <w:t>por semana</w:t>
      </w:r>
      <w:r w:rsidR="00002342">
        <w:rPr>
          <w:sz w:val="20"/>
          <w:szCs w:val="20"/>
        </w:rPr>
        <w:t xml:space="preserve"> indicados em cada lote</w:t>
      </w:r>
      <w:r w:rsidRPr="001F12DF">
        <w:rPr>
          <w:sz w:val="20"/>
          <w:szCs w:val="20"/>
        </w:rPr>
        <w:t xml:space="preserve">. </w:t>
      </w:r>
    </w:p>
    <w:p w:rsidR="0082415D" w:rsidRPr="001F12DF" w:rsidRDefault="0082415D" w:rsidP="001F12DF">
      <w:pPr>
        <w:pStyle w:val="Default"/>
        <w:numPr>
          <w:ilvl w:val="1"/>
          <w:numId w:val="5"/>
        </w:numPr>
        <w:spacing w:line="360" w:lineRule="auto"/>
        <w:ind w:left="993"/>
        <w:jc w:val="both"/>
        <w:rPr>
          <w:sz w:val="20"/>
          <w:szCs w:val="20"/>
        </w:rPr>
      </w:pPr>
      <w:r w:rsidRPr="001F12DF">
        <w:rPr>
          <w:sz w:val="20"/>
          <w:szCs w:val="20"/>
        </w:rPr>
        <w:t xml:space="preserve">Preço por semana de trabalho. </w:t>
      </w:r>
    </w:p>
    <w:p w:rsidR="0082415D" w:rsidRPr="001F12DF" w:rsidRDefault="0082415D" w:rsidP="001F12DF">
      <w:pPr>
        <w:pStyle w:val="Default"/>
        <w:numPr>
          <w:ilvl w:val="1"/>
          <w:numId w:val="5"/>
        </w:numPr>
        <w:spacing w:line="360" w:lineRule="auto"/>
        <w:ind w:left="993"/>
        <w:jc w:val="both"/>
        <w:rPr>
          <w:sz w:val="20"/>
          <w:szCs w:val="20"/>
        </w:rPr>
      </w:pPr>
      <w:r w:rsidRPr="001F12DF">
        <w:rPr>
          <w:sz w:val="20"/>
          <w:szCs w:val="20"/>
        </w:rPr>
        <w:t xml:space="preserve">O preço do valor hora de consultoria proposto não pode ser superior a </w:t>
      </w:r>
      <w:r w:rsidR="004D225D">
        <w:rPr>
          <w:sz w:val="20"/>
          <w:szCs w:val="20"/>
        </w:rPr>
        <w:t>30</w:t>
      </w:r>
      <w:r w:rsidRPr="001F12DF">
        <w:rPr>
          <w:sz w:val="20"/>
          <w:szCs w:val="20"/>
        </w:rPr>
        <w:t xml:space="preserve">,00€/hora. </w:t>
      </w:r>
    </w:p>
    <w:p w:rsidR="0082415D" w:rsidRPr="001F12DF" w:rsidRDefault="0082415D" w:rsidP="001F12DF">
      <w:pPr>
        <w:pStyle w:val="Default"/>
        <w:numPr>
          <w:ilvl w:val="1"/>
          <w:numId w:val="5"/>
        </w:numPr>
        <w:spacing w:line="360" w:lineRule="auto"/>
        <w:ind w:left="993"/>
        <w:jc w:val="both"/>
        <w:rPr>
          <w:sz w:val="20"/>
          <w:szCs w:val="20"/>
        </w:rPr>
      </w:pPr>
      <w:r w:rsidRPr="001F12DF">
        <w:rPr>
          <w:sz w:val="20"/>
          <w:szCs w:val="20"/>
        </w:rPr>
        <w:t xml:space="preserve">O preço do valor hora de formação proposto não pode ser superior a 20,00€/hora. </w:t>
      </w:r>
    </w:p>
    <w:p w:rsidR="0082415D" w:rsidRPr="001F12DF" w:rsidRDefault="0082415D" w:rsidP="001F12DF">
      <w:pPr>
        <w:pStyle w:val="Default"/>
        <w:numPr>
          <w:ilvl w:val="1"/>
          <w:numId w:val="5"/>
        </w:numPr>
        <w:spacing w:line="360" w:lineRule="auto"/>
        <w:ind w:left="993"/>
        <w:jc w:val="both"/>
        <w:rPr>
          <w:sz w:val="20"/>
          <w:szCs w:val="20"/>
        </w:rPr>
      </w:pPr>
      <w:r w:rsidRPr="001F12DF">
        <w:rPr>
          <w:sz w:val="20"/>
          <w:szCs w:val="20"/>
        </w:rPr>
        <w:t xml:space="preserve">O preço do km para deslocações não pode ser superior a 0,36€/km, não podendo ultrapassar 25% do total das remunerações efectivamente pagas a consultores e formadores. </w:t>
      </w:r>
    </w:p>
    <w:p w:rsidR="0082415D" w:rsidRDefault="0082415D" w:rsidP="001F12DF">
      <w:pPr>
        <w:pStyle w:val="Default"/>
        <w:numPr>
          <w:ilvl w:val="0"/>
          <w:numId w:val="4"/>
        </w:numPr>
        <w:spacing w:line="360" w:lineRule="auto"/>
        <w:ind w:left="426"/>
        <w:jc w:val="both"/>
        <w:rPr>
          <w:sz w:val="20"/>
          <w:szCs w:val="20"/>
        </w:rPr>
      </w:pPr>
      <w:r w:rsidRPr="001F12DF">
        <w:rPr>
          <w:sz w:val="20"/>
          <w:szCs w:val="20"/>
        </w:rPr>
        <w:t xml:space="preserve">O preço referido no número anterior inclui todos os custos, encargos e despesas, cuja responsabilidade não seja expressamente atribuída à Entidade Adjudicante. </w:t>
      </w:r>
    </w:p>
    <w:p w:rsidR="0082415D" w:rsidRDefault="0082415D" w:rsidP="001F12DF">
      <w:pPr>
        <w:pStyle w:val="Default"/>
        <w:numPr>
          <w:ilvl w:val="0"/>
          <w:numId w:val="4"/>
        </w:numPr>
        <w:spacing w:line="360" w:lineRule="auto"/>
        <w:ind w:left="426"/>
        <w:jc w:val="both"/>
        <w:rPr>
          <w:sz w:val="20"/>
          <w:szCs w:val="20"/>
        </w:rPr>
      </w:pPr>
      <w:r w:rsidRPr="001F12DF">
        <w:rPr>
          <w:sz w:val="20"/>
          <w:szCs w:val="20"/>
        </w:rPr>
        <w:t>A proposta que apresente um valor total, igual ou inferior a 1</w:t>
      </w:r>
      <w:r w:rsidR="00DD0712">
        <w:rPr>
          <w:sz w:val="20"/>
          <w:szCs w:val="20"/>
        </w:rPr>
        <w:t>51</w:t>
      </w:r>
      <w:r w:rsidRPr="001F12DF">
        <w:rPr>
          <w:sz w:val="20"/>
          <w:szCs w:val="20"/>
        </w:rPr>
        <w:t>.</w:t>
      </w:r>
      <w:r w:rsidR="00DD0712">
        <w:rPr>
          <w:sz w:val="20"/>
          <w:szCs w:val="20"/>
        </w:rPr>
        <w:t>7</w:t>
      </w:r>
      <w:r w:rsidR="001057F0" w:rsidRPr="001F12DF">
        <w:rPr>
          <w:sz w:val="20"/>
          <w:szCs w:val="20"/>
        </w:rPr>
        <w:t>5</w:t>
      </w:r>
      <w:r w:rsidR="00981A56">
        <w:rPr>
          <w:sz w:val="20"/>
          <w:szCs w:val="20"/>
        </w:rPr>
        <w:t>0</w:t>
      </w:r>
      <w:r w:rsidRPr="001F12DF">
        <w:rPr>
          <w:sz w:val="20"/>
          <w:szCs w:val="20"/>
        </w:rPr>
        <w:t xml:space="preserve">,00€ (cento e </w:t>
      </w:r>
      <w:r w:rsidR="00DD0712">
        <w:rPr>
          <w:sz w:val="20"/>
          <w:szCs w:val="20"/>
        </w:rPr>
        <w:t xml:space="preserve">cinquenta e um </w:t>
      </w:r>
      <w:r w:rsidRPr="001F12DF">
        <w:rPr>
          <w:sz w:val="20"/>
          <w:szCs w:val="20"/>
        </w:rPr>
        <w:t>mil</w:t>
      </w:r>
      <w:r w:rsidR="00DD0712">
        <w:rPr>
          <w:sz w:val="20"/>
          <w:szCs w:val="20"/>
        </w:rPr>
        <w:t>, setecentos e cinquenta</w:t>
      </w:r>
      <w:r w:rsidR="00981A56">
        <w:rPr>
          <w:sz w:val="20"/>
          <w:szCs w:val="20"/>
        </w:rPr>
        <w:t xml:space="preserve"> </w:t>
      </w:r>
      <w:r w:rsidRPr="001F12DF">
        <w:rPr>
          <w:sz w:val="20"/>
          <w:szCs w:val="20"/>
        </w:rPr>
        <w:t>euros)</w:t>
      </w:r>
      <w:r w:rsidR="00981A56">
        <w:rPr>
          <w:sz w:val="20"/>
          <w:szCs w:val="20"/>
        </w:rPr>
        <w:t xml:space="preserve"> e </w:t>
      </w:r>
      <w:r w:rsidR="00981A56" w:rsidRPr="001F12DF">
        <w:rPr>
          <w:sz w:val="20"/>
          <w:szCs w:val="20"/>
        </w:rPr>
        <w:t>1</w:t>
      </w:r>
      <w:r w:rsidR="00C848F7">
        <w:rPr>
          <w:sz w:val="20"/>
          <w:szCs w:val="20"/>
        </w:rPr>
        <w:t>4</w:t>
      </w:r>
      <w:r w:rsidR="00DD0712">
        <w:rPr>
          <w:sz w:val="20"/>
          <w:szCs w:val="20"/>
        </w:rPr>
        <w:t>9</w:t>
      </w:r>
      <w:r w:rsidR="00981A56" w:rsidRPr="001F12DF">
        <w:rPr>
          <w:sz w:val="20"/>
          <w:szCs w:val="20"/>
        </w:rPr>
        <w:t>.5</w:t>
      </w:r>
      <w:r w:rsidR="00C848F7">
        <w:rPr>
          <w:sz w:val="20"/>
          <w:szCs w:val="20"/>
        </w:rPr>
        <w:t>0</w:t>
      </w:r>
      <w:r w:rsidR="00981A56" w:rsidRPr="001F12DF">
        <w:rPr>
          <w:sz w:val="20"/>
          <w:szCs w:val="20"/>
        </w:rPr>
        <w:t xml:space="preserve">0,00€ (cento e </w:t>
      </w:r>
      <w:r w:rsidR="00C848F7">
        <w:rPr>
          <w:sz w:val="20"/>
          <w:szCs w:val="20"/>
        </w:rPr>
        <w:t xml:space="preserve">quarenta e </w:t>
      </w:r>
      <w:r w:rsidR="00DD0712">
        <w:rPr>
          <w:sz w:val="20"/>
          <w:szCs w:val="20"/>
        </w:rPr>
        <w:t>nove</w:t>
      </w:r>
      <w:r w:rsidR="00981A56" w:rsidRPr="001F12DF">
        <w:rPr>
          <w:sz w:val="20"/>
          <w:szCs w:val="20"/>
        </w:rPr>
        <w:t xml:space="preserve"> mil</w:t>
      </w:r>
      <w:r w:rsidR="00C848F7">
        <w:rPr>
          <w:sz w:val="20"/>
          <w:szCs w:val="20"/>
        </w:rPr>
        <w:t xml:space="preserve"> e quinhentos</w:t>
      </w:r>
      <w:r w:rsidR="00981A56">
        <w:rPr>
          <w:sz w:val="20"/>
          <w:szCs w:val="20"/>
        </w:rPr>
        <w:t xml:space="preserve"> </w:t>
      </w:r>
      <w:r w:rsidR="00981A56" w:rsidRPr="001F12DF">
        <w:rPr>
          <w:sz w:val="20"/>
          <w:szCs w:val="20"/>
        </w:rPr>
        <w:t>euros)</w:t>
      </w:r>
      <w:r w:rsidR="00AF3B8F">
        <w:rPr>
          <w:sz w:val="20"/>
          <w:szCs w:val="20"/>
        </w:rPr>
        <w:t xml:space="preserve"> respectivamente</w:t>
      </w:r>
      <w:r w:rsidRPr="001F12DF">
        <w:rPr>
          <w:sz w:val="20"/>
          <w:szCs w:val="20"/>
        </w:rPr>
        <w:t>, ou seja 20% ou mais abaixo dos montantes máximos referido no n.º1, é considerado que se trata dum valor anormalmente baixo, de acordo com o art.º 71º, n.º 2 do CCP</w:t>
      </w:r>
      <w:r w:rsidR="009B33F0" w:rsidRPr="001F12DF">
        <w:rPr>
          <w:sz w:val="20"/>
          <w:szCs w:val="20"/>
        </w:rPr>
        <w:t xml:space="preserve"> (por aplicação subsidiária)</w:t>
      </w:r>
      <w:r w:rsidRPr="001F12DF">
        <w:rPr>
          <w:sz w:val="20"/>
          <w:szCs w:val="20"/>
        </w:rPr>
        <w:t xml:space="preserve">, já que estando estabelecidos os valores/hora, se entende que a prática de preços/hora muito inferiores podem prejudicar gravemente a execução dos serviços. </w:t>
      </w:r>
    </w:p>
    <w:p w:rsidR="0082415D" w:rsidRDefault="0082415D" w:rsidP="001F12DF">
      <w:pPr>
        <w:pStyle w:val="Default"/>
        <w:numPr>
          <w:ilvl w:val="0"/>
          <w:numId w:val="4"/>
        </w:numPr>
        <w:spacing w:line="360" w:lineRule="auto"/>
        <w:ind w:left="426"/>
        <w:jc w:val="both"/>
        <w:rPr>
          <w:sz w:val="20"/>
          <w:szCs w:val="20"/>
        </w:rPr>
      </w:pPr>
      <w:r w:rsidRPr="001F12DF">
        <w:rPr>
          <w:sz w:val="20"/>
          <w:szCs w:val="20"/>
        </w:rPr>
        <w:t xml:space="preserve">Pela prestação de serviço objeto do contrato, bem como pelo cumprimento das demais obrigações constantes do presente Caderno de Encargos, a Entidade Adjudicante deve pagar ao Adjudicatário o preço constante da proposta adjudicada, acrescido de IVA à taxa legal em vigor, se este for legalmente devido, com os valores máximos unitários máximos constantes da proposta adjudicada, mas sempre de acordo com o número de horas efectiva e comprovadamente executados. </w:t>
      </w:r>
    </w:p>
    <w:p w:rsidR="00081845" w:rsidRDefault="00081845" w:rsidP="00081845">
      <w:pPr>
        <w:pStyle w:val="Default"/>
        <w:spacing w:line="360" w:lineRule="auto"/>
        <w:jc w:val="both"/>
        <w:rPr>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lastRenderedPageBreak/>
        <w:t>Cláusula 6.ª</w:t>
      </w:r>
    </w:p>
    <w:p w:rsidR="0082415D" w:rsidRPr="001F12DF" w:rsidRDefault="0082415D" w:rsidP="001F12DF">
      <w:pPr>
        <w:pStyle w:val="Default"/>
        <w:spacing w:line="360" w:lineRule="auto"/>
        <w:jc w:val="center"/>
        <w:rPr>
          <w:b/>
          <w:sz w:val="20"/>
          <w:szCs w:val="20"/>
        </w:rPr>
      </w:pPr>
      <w:r w:rsidRPr="001F12DF">
        <w:rPr>
          <w:b/>
          <w:sz w:val="20"/>
          <w:szCs w:val="20"/>
        </w:rPr>
        <w:t>Contrato</w:t>
      </w:r>
    </w:p>
    <w:p w:rsidR="0082415D" w:rsidRDefault="0082415D" w:rsidP="001F12DF">
      <w:pPr>
        <w:pStyle w:val="Default"/>
        <w:numPr>
          <w:ilvl w:val="0"/>
          <w:numId w:val="6"/>
        </w:numPr>
        <w:spacing w:line="360" w:lineRule="auto"/>
        <w:ind w:left="426"/>
        <w:jc w:val="both"/>
        <w:rPr>
          <w:sz w:val="20"/>
          <w:szCs w:val="20"/>
        </w:rPr>
      </w:pPr>
      <w:r w:rsidRPr="001F12DF">
        <w:rPr>
          <w:sz w:val="20"/>
          <w:szCs w:val="20"/>
        </w:rPr>
        <w:t xml:space="preserve">O contrato é composto pelo respetivo clausulado contratual e seus anexos. </w:t>
      </w:r>
    </w:p>
    <w:p w:rsidR="0082415D" w:rsidRPr="001F12DF" w:rsidRDefault="0082415D" w:rsidP="001F12DF">
      <w:pPr>
        <w:pStyle w:val="Default"/>
        <w:numPr>
          <w:ilvl w:val="0"/>
          <w:numId w:val="6"/>
        </w:numPr>
        <w:spacing w:line="360" w:lineRule="auto"/>
        <w:ind w:left="426"/>
        <w:jc w:val="both"/>
        <w:rPr>
          <w:sz w:val="20"/>
          <w:szCs w:val="20"/>
        </w:rPr>
      </w:pPr>
      <w:r w:rsidRPr="001F12DF">
        <w:rPr>
          <w:sz w:val="20"/>
          <w:szCs w:val="20"/>
        </w:rPr>
        <w:t xml:space="preserve">O contrato a celebrar integra ainda, nos termos do n.º 2 do art.º 96 do Código dos Contratos Públicos (adiante designado por CCP), os seguintes elementos: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Os suprimentos dos erros e das omissões do caderno de encargos identificados pelos concorrentes desde que esses erros e omissões tenham sido expressamente aceites pelo órgão competente para a decisão de contratar;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Os esclarecimentos e as retificações relativos ao caderno de encargos;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A proposta adjudicada;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Os esclarecimentos sobre a proposta adjudicada pelo Adjudicatário.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Em caso de divergência entre os documentos referidos no n.º anterior, a respetiva prevalência é determinada pela ordem pela qual aí são indicados. </w:t>
      </w:r>
    </w:p>
    <w:p w:rsidR="0082415D" w:rsidRPr="001F12DF" w:rsidRDefault="0082415D" w:rsidP="001F12DF">
      <w:pPr>
        <w:pStyle w:val="Default"/>
        <w:numPr>
          <w:ilvl w:val="0"/>
          <w:numId w:val="7"/>
        </w:numPr>
        <w:spacing w:line="360" w:lineRule="auto"/>
        <w:ind w:left="993"/>
        <w:jc w:val="both"/>
        <w:rPr>
          <w:sz w:val="20"/>
          <w:szCs w:val="20"/>
        </w:rPr>
      </w:pPr>
      <w:r w:rsidRPr="001F12DF">
        <w:rPr>
          <w:sz w:val="20"/>
          <w:szCs w:val="20"/>
        </w:rPr>
        <w:t xml:space="preserve">Em caso de divergência entre os documentos referidos no n.º 2 e o clausulado do contrato e seus anexos, prevalecem os primeiros, salvo quanto aos ajustamentos propostos de acordo com o disposto no art.º 99º do CCP e aceites pelo Adjudicatário nos termos do disposto no art.º 101.º do mesmo diploma legal. </w:t>
      </w:r>
    </w:p>
    <w:p w:rsidR="00F70EC1" w:rsidRPr="001F12DF" w:rsidRDefault="00F70EC1" w:rsidP="001F12DF">
      <w:pPr>
        <w:pStyle w:val="Default"/>
        <w:spacing w:line="360" w:lineRule="auto"/>
        <w:jc w:val="both"/>
        <w:rPr>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7.ª</w:t>
      </w:r>
    </w:p>
    <w:p w:rsidR="0082415D" w:rsidRPr="001F12DF" w:rsidRDefault="0082415D" w:rsidP="001F12DF">
      <w:pPr>
        <w:pStyle w:val="Default"/>
        <w:spacing w:line="360" w:lineRule="auto"/>
        <w:jc w:val="center"/>
        <w:rPr>
          <w:b/>
          <w:sz w:val="20"/>
          <w:szCs w:val="20"/>
        </w:rPr>
      </w:pPr>
      <w:r w:rsidRPr="001F12DF">
        <w:rPr>
          <w:b/>
          <w:sz w:val="20"/>
          <w:szCs w:val="20"/>
        </w:rPr>
        <w:t>Início do Contrato</w:t>
      </w:r>
    </w:p>
    <w:p w:rsidR="00F70EC1" w:rsidRPr="001F12DF" w:rsidRDefault="0082415D" w:rsidP="001F12DF">
      <w:pPr>
        <w:pStyle w:val="Default"/>
        <w:spacing w:line="360" w:lineRule="auto"/>
        <w:jc w:val="both"/>
        <w:rPr>
          <w:sz w:val="20"/>
          <w:szCs w:val="20"/>
        </w:rPr>
      </w:pPr>
      <w:r w:rsidRPr="001F12DF">
        <w:rPr>
          <w:sz w:val="20"/>
          <w:szCs w:val="20"/>
        </w:rPr>
        <w:t xml:space="preserve">O contrato </w:t>
      </w:r>
      <w:r w:rsidR="00002342">
        <w:rPr>
          <w:sz w:val="20"/>
          <w:szCs w:val="20"/>
        </w:rPr>
        <w:t xml:space="preserve">respeitante a cada lote, </w:t>
      </w:r>
      <w:r w:rsidRPr="001F12DF">
        <w:rPr>
          <w:sz w:val="20"/>
          <w:szCs w:val="20"/>
        </w:rPr>
        <w:t xml:space="preserve">entra em vigor no dia da sua assinatura, sendo que a prestação do serviço objeto do presente caderno de encargos deverá ser realizada integralmente até </w:t>
      </w:r>
      <w:r w:rsidRPr="00953916">
        <w:rPr>
          <w:color w:val="auto"/>
          <w:sz w:val="20"/>
          <w:szCs w:val="20"/>
        </w:rPr>
        <w:t>31/0</w:t>
      </w:r>
      <w:r w:rsidR="00F70EC1" w:rsidRPr="00953916">
        <w:rPr>
          <w:color w:val="auto"/>
          <w:sz w:val="20"/>
          <w:szCs w:val="20"/>
        </w:rPr>
        <w:t>3</w:t>
      </w:r>
      <w:r w:rsidRPr="00953916">
        <w:rPr>
          <w:color w:val="auto"/>
          <w:sz w:val="20"/>
          <w:szCs w:val="20"/>
        </w:rPr>
        <w:t>/20</w:t>
      </w:r>
      <w:r w:rsidR="00F70EC1" w:rsidRPr="00953916">
        <w:rPr>
          <w:color w:val="auto"/>
          <w:sz w:val="20"/>
          <w:szCs w:val="20"/>
        </w:rPr>
        <w:t>2</w:t>
      </w:r>
      <w:r w:rsidR="00340A30" w:rsidRPr="00953916">
        <w:rPr>
          <w:color w:val="auto"/>
          <w:sz w:val="20"/>
          <w:szCs w:val="20"/>
        </w:rPr>
        <w:t>1</w:t>
      </w:r>
      <w:r w:rsidR="00002342" w:rsidRPr="00953916">
        <w:rPr>
          <w:sz w:val="20"/>
          <w:szCs w:val="20"/>
        </w:rPr>
        <w:t xml:space="preserve"> em ambos</w:t>
      </w:r>
      <w:r w:rsidR="00953916" w:rsidRPr="00953916">
        <w:rPr>
          <w:sz w:val="20"/>
          <w:szCs w:val="20"/>
        </w:rPr>
        <w:t xml:space="preserve"> os lotes</w:t>
      </w:r>
      <w:r w:rsidRPr="001F12DF">
        <w:rPr>
          <w:sz w:val="20"/>
          <w:szCs w:val="20"/>
        </w:rPr>
        <w:t xml:space="preserve">, podendo apenas prorrogar-se se expressamente autorizado pela entidade adjudicante e sem prejuízo das obrigações acessórias que devam perdurar para além da cessação do contrato. </w:t>
      </w:r>
    </w:p>
    <w:p w:rsidR="00F70EC1" w:rsidRPr="001F12DF" w:rsidRDefault="00F70EC1" w:rsidP="001F12DF">
      <w:pPr>
        <w:pStyle w:val="Default"/>
        <w:spacing w:line="360" w:lineRule="auto"/>
        <w:jc w:val="both"/>
        <w:rPr>
          <w:b/>
          <w:bCs/>
          <w:sz w:val="20"/>
          <w:szCs w:val="20"/>
        </w:rPr>
      </w:pPr>
    </w:p>
    <w:p w:rsidR="0082415D" w:rsidRPr="001F12DF" w:rsidRDefault="0082415D" w:rsidP="001F12DF">
      <w:pPr>
        <w:pStyle w:val="Default"/>
        <w:spacing w:line="360" w:lineRule="auto"/>
        <w:jc w:val="center"/>
        <w:rPr>
          <w:sz w:val="20"/>
          <w:szCs w:val="20"/>
        </w:rPr>
      </w:pPr>
      <w:r w:rsidRPr="001F12DF">
        <w:rPr>
          <w:b/>
          <w:bCs/>
          <w:sz w:val="20"/>
          <w:szCs w:val="20"/>
        </w:rPr>
        <w:t>Capitulo III</w:t>
      </w:r>
    </w:p>
    <w:p w:rsidR="0082415D" w:rsidRPr="001F12DF" w:rsidRDefault="0082415D" w:rsidP="001F12DF">
      <w:pPr>
        <w:pStyle w:val="Default"/>
        <w:spacing w:line="360" w:lineRule="auto"/>
        <w:jc w:val="center"/>
        <w:rPr>
          <w:sz w:val="20"/>
          <w:szCs w:val="20"/>
        </w:rPr>
      </w:pPr>
      <w:r w:rsidRPr="001F12DF">
        <w:rPr>
          <w:b/>
          <w:bCs/>
          <w:sz w:val="20"/>
          <w:szCs w:val="20"/>
        </w:rPr>
        <w:t>Obrigações Contratuais</w:t>
      </w:r>
    </w:p>
    <w:p w:rsidR="0082415D" w:rsidRPr="001F12DF" w:rsidRDefault="0082415D" w:rsidP="001F12DF">
      <w:pPr>
        <w:pStyle w:val="Default"/>
        <w:spacing w:line="360" w:lineRule="auto"/>
        <w:jc w:val="center"/>
        <w:rPr>
          <w:sz w:val="20"/>
          <w:szCs w:val="20"/>
        </w:rPr>
      </w:pPr>
      <w:r w:rsidRPr="001F12DF">
        <w:rPr>
          <w:b/>
          <w:bCs/>
          <w:sz w:val="20"/>
          <w:szCs w:val="20"/>
        </w:rPr>
        <w:t>Secção I</w:t>
      </w:r>
    </w:p>
    <w:p w:rsidR="0082415D" w:rsidRPr="001F12DF" w:rsidRDefault="0082415D" w:rsidP="001F12DF">
      <w:pPr>
        <w:pStyle w:val="Default"/>
        <w:spacing w:line="360" w:lineRule="auto"/>
        <w:jc w:val="center"/>
        <w:rPr>
          <w:sz w:val="20"/>
          <w:szCs w:val="20"/>
        </w:rPr>
      </w:pPr>
      <w:r w:rsidRPr="001F12DF">
        <w:rPr>
          <w:b/>
          <w:bCs/>
          <w:sz w:val="20"/>
          <w:szCs w:val="20"/>
        </w:rPr>
        <w:t>Obrigações do Adjudicatário</w:t>
      </w:r>
    </w:p>
    <w:p w:rsidR="00F70EC1" w:rsidRDefault="00F70EC1" w:rsidP="001F12DF">
      <w:pPr>
        <w:pStyle w:val="Default"/>
        <w:spacing w:line="360" w:lineRule="auto"/>
        <w:jc w:val="both"/>
        <w:rPr>
          <w:b/>
          <w:sz w:val="20"/>
          <w:szCs w:val="20"/>
        </w:rPr>
      </w:pPr>
    </w:p>
    <w:p w:rsidR="00953916" w:rsidRDefault="00953916" w:rsidP="001F12DF">
      <w:pPr>
        <w:pStyle w:val="Default"/>
        <w:spacing w:line="360" w:lineRule="auto"/>
        <w:jc w:val="both"/>
        <w:rPr>
          <w:b/>
          <w:sz w:val="20"/>
          <w:szCs w:val="20"/>
        </w:rPr>
      </w:pPr>
    </w:p>
    <w:p w:rsidR="00953916" w:rsidRPr="001F12DF" w:rsidRDefault="00953916" w:rsidP="001F12DF">
      <w:pPr>
        <w:pStyle w:val="Default"/>
        <w:spacing w:line="360" w:lineRule="auto"/>
        <w:jc w:val="both"/>
        <w:rPr>
          <w:b/>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8.ª</w:t>
      </w:r>
    </w:p>
    <w:p w:rsidR="0082415D" w:rsidRPr="001F12DF" w:rsidRDefault="0082415D" w:rsidP="001F12DF">
      <w:pPr>
        <w:pStyle w:val="Default"/>
        <w:spacing w:line="360" w:lineRule="auto"/>
        <w:jc w:val="center"/>
        <w:rPr>
          <w:b/>
          <w:sz w:val="20"/>
          <w:szCs w:val="20"/>
        </w:rPr>
      </w:pPr>
      <w:r w:rsidRPr="001F12DF">
        <w:rPr>
          <w:b/>
          <w:sz w:val="20"/>
          <w:szCs w:val="20"/>
        </w:rPr>
        <w:t>Obrigações Principais do Adjudicatário</w:t>
      </w:r>
    </w:p>
    <w:p w:rsidR="0082415D" w:rsidRPr="001F12DF" w:rsidRDefault="0082415D" w:rsidP="001F12DF">
      <w:pPr>
        <w:pStyle w:val="Default"/>
        <w:numPr>
          <w:ilvl w:val="0"/>
          <w:numId w:val="9"/>
        </w:numPr>
        <w:spacing w:line="360" w:lineRule="auto"/>
        <w:ind w:left="426"/>
        <w:jc w:val="both"/>
        <w:rPr>
          <w:sz w:val="20"/>
          <w:szCs w:val="20"/>
        </w:rPr>
      </w:pPr>
      <w:r w:rsidRPr="001F12DF">
        <w:rPr>
          <w:sz w:val="20"/>
          <w:szCs w:val="20"/>
        </w:rPr>
        <w:t xml:space="preserve">Sem prejuízo de outras obrigações previstas na legislação aplicável, no caderno de encargos ou nas cláusulas contratuais, da celebração do contrato decorrem para o Adjudicatário as seguintes obrigações principais: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Responsabilidade pela boa prestação dos serviços, de acordo com o contrato e com eventuais indicações complementares da Entidade Adjudicante;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lastRenderedPageBreak/>
        <w:t xml:space="preserve">A Entidade Adjudicante não responde por quaisquer danos causados no equipamento e material do Adjudicatário, nem por quaisquer danos ou acidentes sofridos pelo pessoal ao seu serviço, salvo se resultarem de culpa comprovada dos colaboradores da Entidade Adjudicante no exercício das suas funções;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Correrão por conta do Adjudicatário, que se considerará para o efeito o único responsável, a reparação e a indemnização de todos os prejuízos que, por motivos imputáveis ao Adjudicatário, sejam sofridos pela Entidade Adjudicante, seus colaboradores, funcionários e terceiros, em consequência do modo da sua execução, da atuação do pessoal do Adjudicatário, seus fornecedores e do deficiente comportamento ou de falta de segurança dos materiais ou serviços;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Prestar e garantir o fornecimento dos serviços supra identificados de acordo com as características técnicas e legais assim como requisitos definidos no presente caderno de encargos e documentos contratuais;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Executar a prestação de serviços conferindo e garantindo a todo momento a qualidade dos mesmos, de acordo com o previamente contratualizado, prestando informações detalhadas sempre que solicitadas pela Entidade Adjudicante;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Fornecer e entregar mensalmente até final do 6º dia de cada mês, à entidade adjudicante, todos os elementos operacionais, técnicos ou legais que sejam susceptíveis de comprovar a execução dos serviços contratados e realizados no mês anterior, devendo os mesmos estar de acordo com todas as características, especificações, requisitos técnicos e legais</w:t>
      </w:r>
      <w:r w:rsidR="00F70EC1" w:rsidRPr="001F12DF">
        <w:rPr>
          <w:sz w:val="20"/>
          <w:szCs w:val="20"/>
        </w:rPr>
        <w:t xml:space="preserve"> definidos pelo projecto </w:t>
      </w:r>
      <w:r w:rsidR="004A5F20">
        <w:rPr>
          <w:sz w:val="20"/>
          <w:szCs w:val="20"/>
        </w:rPr>
        <w:t>de cada lote</w:t>
      </w:r>
      <w:r w:rsidRPr="001F12DF">
        <w:rPr>
          <w:sz w:val="20"/>
          <w:szCs w:val="20"/>
        </w:rPr>
        <w:t xml:space="preserve">, proposta adjudicada e em conformidade com o estipulado no Despacho Normativo n.º 12/2012 de 21 de Maio;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Comunicar à Entidade Adjudicante, com a maior brevidade possível, todos e quaisquer factos que total ou parcialmente impossibilitem e condicionem a prestação dos serviços, ou o cumprimento de qualquer outra das suas obrigações contratuais;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Respeitar e manter todas e quaisquer condições da prestação do serviço definidas no presente caderno de encargos e demais elementos contratuais e legais existentes para o efeito;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Comunicar todo e qualquer facto ou ocorrência que durante a vigência do contrato o altere, nomeadamente, a sua denominação social, os seus representantes legais com relevância para o fornecimento, a sua situação jurídica e a sua situação comercial; </w:t>
      </w:r>
    </w:p>
    <w:p w:rsidR="0082415D" w:rsidRPr="001F12DF" w:rsidRDefault="0082415D" w:rsidP="001F12DF">
      <w:pPr>
        <w:pStyle w:val="Default"/>
        <w:numPr>
          <w:ilvl w:val="1"/>
          <w:numId w:val="10"/>
        </w:numPr>
        <w:spacing w:line="360" w:lineRule="auto"/>
        <w:ind w:left="993"/>
        <w:jc w:val="both"/>
        <w:rPr>
          <w:sz w:val="20"/>
          <w:szCs w:val="20"/>
        </w:rPr>
      </w:pPr>
      <w:r w:rsidRPr="001F12DF">
        <w:rPr>
          <w:sz w:val="20"/>
          <w:szCs w:val="20"/>
        </w:rPr>
        <w:t xml:space="preserve">Garantir a confidencialidade assim como manter sigilo quanto a toda a informação e conhecimento disponibilizados; </w:t>
      </w:r>
    </w:p>
    <w:p w:rsidR="001F12DF" w:rsidRDefault="001F12DF" w:rsidP="001F12DF">
      <w:pPr>
        <w:pStyle w:val="Default"/>
        <w:spacing w:line="360" w:lineRule="auto"/>
        <w:jc w:val="both"/>
        <w:rPr>
          <w:sz w:val="20"/>
          <w:szCs w:val="20"/>
        </w:rPr>
      </w:pPr>
    </w:p>
    <w:p w:rsidR="0082415D" w:rsidRPr="001F12DF" w:rsidRDefault="0082415D" w:rsidP="001F12DF">
      <w:pPr>
        <w:pStyle w:val="Default"/>
        <w:numPr>
          <w:ilvl w:val="0"/>
          <w:numId w:val="9"/>
        </w:numPr>
        <w:spacing w:line="360" w:lineRule="auto"/>
        <w:ind w:left="426"/>
        <w:jc w:val="both"/>
        <w:rPr>
          <w:sz w:val="20"/>
          <w:szCs w:val="20"/>
        </w:rPr>
      </w:pPr>
      <w:r w:rsidRPr="001F12DF">
        <w:rPr>
          <w:sz w:val="20"/>
          <w:szCs w:val="20"/>
        </w:rPr>
        <w:t xml:space="preserve">O adjudicatário deverá ainda obrigar-se e garantir todos os meios humanos, materiais e informáticos que sejam necessários e adequados à prestação do serviço, bem como ao estabelecimento do sistema de organização necessário à perfeita e completa execução </w:t>
      </w:r>
      <w:r w:rsidRPr="001F12DF">
        <w:rPr>
          <w:sz w:val="20"/>
          <w:szCs w:val="20"/>
        </w:rPr>
        <w:lastRenderedPageBreak/>
        <w:t xml:space="preserve">das tarefas a seu cargo, nomeadamente no que respeita aos requisitos previstos na candidatura. </w:t>
      </w:r>
    </w:p>
    <w:p w:rsidR="0082415D" w:rsidRPr="001F12DF" w:rsidRDefault="0082415D" w:rsidP="001F12DF">
      <w:pPr>
        <w:pStyle w:val="Default"/>
        <w:spacing w:line="360" w:lineRule="auto"/>
        <w:jc w:val="center"/>
        <w:rPr>
          <w:b/>
          <w:sz w:val="20"/>
          <w:szCs w:val="20"/>
        </w:rPr>
      </w:pPr>
      <w:r w:rsidRPr="001F12DF">
        <w:rPr>
          <w:b/>
          <w:sz w:val="20"/>
          <w:szCs w:val="20"/>
        </w:rPr>
        <w:t>Cláusula 9.ª</w:t>
      </w:r>
    </w:p>
    <w:p w:rsidR="0082415D" w:rsidRPr="001F12DF" w:rsidRDefault="0082415D" w:rsidP="001F12DF">
      <w:pPr>
        <w:pStyle w:val="Default"/>
        <w:spacing w:line="360" w:lineRule="auto"/>
        <w:jc w:val="center"/>
        <w:rPr>
          <w:b/>
          <w:sz w:val="20"/>
          <w:szCs w:val="20"/>
        </w:rPr>
      </w:pPr>
      <w:r w:rsidRPr="001F12DF">
        <w:rPr>
          <w:b/>
          <w:sz w:val="20"/>
          <w:szCs w:val="20"/>
        </w:rPr>
        <w:t>Acompanhamento/Execução</w:t>
      </w:r>
    </w:p>
    <w:p w:rsidR="0082415D" w:rsidRPr="001F12DF" w:rsidRDefault="0082415D" w:rsidP="001F12DF">
      <w:pPr>
        <w:pStyle w:val="Default"/>
        <w:numPr>
          <w:ilvl w:val="0"/>
          <w:numId w:val="11"/>
        </w:numPr>
        <w:spacing w:line="360" w:lineRule="auto"/>
        <w:ind w:left="426"/>
        <w:jc w:val="both"/>
        <w:rPr>
          <w:sz w:val="20"/>
          <w:szCs w:val="20"/>
        </w:rPr>
      </w:pPr>
      <w:r w:rsidRPr="001F12DF">
        <w:rPr>
          <w:sz w:val="20"/>
          <w:szCs w:val="20"/>
        </w:rPr>
        <w:t xml:space="preserve">O Adjudicatário obriga-se a nomear e propor um Coordenador da Equipa de Consultores/Formadores Externos, o qual será o interlocutor da Entidade Adjudicante, tendo também a missão de fiscalizar o cumprimento do programa de trabalhos a fornecer pela entidade adjudicante. </w:t>
      </w:r>
    </w:p>
    <w:p w:rsidR="0082415D" w:rsidRPr="001F12DF" w:rsidRDefault="0082415D" w:rsidP="001F12DF">
      <w:pPr>
        <w:pStyle w:val="Default"/>
        <w:numPr>
          <w:ilvl w:val="0"/>
          <w:numId w:val="11"/>
        </w:numPr>
        <w:spacing w:line="360" w:lineRule="auto"/>
        <w:ind w:left="426"/>
        <w:jc w:val="both"/>
        <w:rPr>
          <w:sz w:val="20"/>
          <w:szCs w:val="20"/>
        </w:rPr>
      </w:pPr>
      <w:r w:rsidRPr="001F12DF">
        <w:rPr>
          <w:sz w:val="20"/>
          <w:szCs w:val="20"/>
        </w:rPr>
        <w:t xml:space="preserve">Para o acompanhamento da execução do contrato, o Adjudicatário fica obrigado a comparecer, sempre que a Entidade Adjudicante o solicite, a reuniões de coordenação e/ou acompanhamento, das quais deve ser lavrada ata a assinar por todos os intervenientes na reunião. </w:t>
      </w:r>
    </w:p>
    <w:p w:rsidR="0082415D" w:rsidRPr="001F12DF" w:rsidRDefault="0082415D" w:rsidP="001F12DF">
      <w:pPr>
        <w:pStyle w:val="Default"/>
        <w:numPr>
          <w:ilvl w:val="0"/>
          <w:numId w:val="11"/>
        </w:numPr>
        <w:spacing w:line="360" w:lineRule="auto"/>
        <w:ind w:left="426"/>
        <w:jc w:val="both"/>
        <w:rPr>
          <w:sz w:val="20"/>
          <w:szCs w:val="20"/>
        </w:rPr>
      </w:pPr>
      <w:r w:rsidRPr="001F12DF">
        <w:rPr>
          <w:sz w:val="20"/>
          <w:szCs w:val="20"/>
        </w:rPr>
        <w:t xml:space="preserve">As reuniões previstas no número anterior serão agendadas pela Entidade Adjudicante, após consulta aos intervenientes na mesma, a qual deve elaborar a agenda prévia para cada reunião. </w:t>
      </w:r>
    </w:p>
    <w:p w:rsidR="0082415D" w:rsidRDefault="0082415D" w:rsidP="001F12DF">
      <w:pPr>
        <w:pStyle w:val="Default"/>
        <w:numPr>
          <w:ilvl w:val="0"/>
          <w:numId w:val="11"/>
        </w:numPr>
        <w:spacing w:line="360" w:lineRule="auto"/>
        <w:ind w:left="426"/>
        <w:jc w:val="both"/>
        <w:rPr>
          <w:sz w:val="20"/>
          <w:szCs w:val="20"/>
        </w:rPr>
      </w:pPr>
      <w:r w:rsidRPr="001F12DF">
        <w:rPr>
          <w:sz w:val="20"/>
          <w:szCs w:val="20"/>
        </w:rPr>
        <w:t xml:space="preserve">O Adjudicatário fica igualmente obrigado a disponibilizar todos e quaisquer elementos, informações e esclarecimentos solicitados tanto pelas Entidade Adjudicante ou quaisquer autoridades legalmente legitimadas para o controlo no âmbito do Sistema de Verificação e Controlo, assim como todos os elementos que se tenham como pertinentes para o acompanhamento e avaliação do Projeto. </w:t>
      </w:r>
    </w:p>
    <w:p w:rsidR="0082415D" w:rsidRPr="001F12DF" w:rsidRDefault="0082415D" w:rsidP="001F12DF">
      <w:pPr>
        <w:pStyle w:val="Default"/>
        <w:numPr>
          <w:ilvl w:val="0"/>
          <w:numId w:val="11"/>
        </w:numPr>
        <w:spacing w:line="360" w:lineRule="auto"/>
        <w:ind w:left="426"/>
        <w:jc w:val="both"/>
        <w:rPr>
          <w:sz w:val="20"/>
          <w:szCs w:val="20"/>
        </w:rPr>
      </w:pPr>
      <w:r w:rsidRPr="001F12DF">
        <w:rPr>
          <w:sz w:val="20"/>
          <w:szCs w:val="20"/>
        </w:rPr>
        <w:t xml:space="preserve">Para a realização dos serviços, o Adjudicatário terá acesso aos registos, documentação e demais informação solicitada, não sendo, no entanto, permitido o transporte para fora das instalações dos originais dos elementos referidos anteriormente, sem autorização expressa e por escrito, dos respetivos responsáveis. </w:t>
      </w:r>
    </w:p>
    <w:p w:rsidR="00F70EC1" w:rsidRPr="001F12DF" w:rsidRDefault="00F70EC1" w:rsidP="001F12DF">
      <w:pPr>
        <w:pStyle w:val="Default"/>
        <w:spacing w:line="360" w:lineRule="auto"/>
        <w:jc w:val="both"/>
        <w:rPr>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10.ª</w:t>
      </w:r>
    </w:p>
    <w:p w:rsidR="0082415D" w:rsidRPr="001F12DF" w:rsidRDefault="0082415D" w:rsidP="001F12DF">
      <w:pPr>
        <w:pStyle w:val="Default"/>
        <w:spacing w:line="360" w:lineRule="auto"/>
        <w:jc w:val="center"/>
        <w:rPr>
          <w:b/>
          <w:sz w:val="20"/>
          <w:szCs w:val="20"/>
        </w:rPr>
      </w:pPr>
      <w:r w:rsidRPr="001F12DF">
        <w:rPr>
          <w:b/>
          <w:sz w:val="20"/>
          <w:szCs w:val="20"/>
        </w:rPr>
        <w:t>Direito de Auditoria</w:t>
      </w:r>
    </w:p>
    <w:p w:rsidR="0082415D" w:rsidRDefault="0082415D" w:rsidP="001F12DF">
      <w:pPr>
        <w:pStyle w:val="Default"/>
        <w:numPr>
          <w:ilvl w:val="0"/>
          <w:numId w:val="13"/>
        </w:numPr>
        <w:spacing w:line="360" w:lineRule="auto"/>
        <w:ind w:left="426"/>
        <w:jc w:val="both"/>
        <w:rPr>
          <w:sz w:val="20"/>
          <w:szCs w:val="20"/>
        </w:rPr>
      </w:pPr>
      <w:r w:rsidRPr="001F12DF">
        <w:rPr>
          <w:sz w:val="20"/>
          <w:szCs w:val="20"/>
        </w:rPr>
        <w:t>A Entidade Adjudicante reserva-se o direito de auditar os serviços objeto do contrato, podendo rejeitar, no todo ou em parte, aquilo que não esteja de acordo com as indicações contratuais, ou com a boa prática corrente, pelo que deve o adjudicatário permitir as ações de auditoria a determinar pela</w:t>
      </w:r>
      <w:r w:rsidR="00C400B3" w:rsidRPr="00C400B3">
        <w:rPr>
          <w:sz w:val="20"/>
          <w:szCs w:val="20"/>
        </w:rPr>
        <w:t xml:space="preserve"> </w:t>
      </w:r>
      <w:r w:rsidR="00C400B3" w:rsidRPr="00C400B3">
        <w:rPr>
          <w:color w:val="auto"/>
          <w:sz w:val="20"/>
          <w:szCs w:val="20"/>
        </w:rPr>
        <w:t>Associação do Comercio, Serviços e Turismo do Distrito de Beja</w:t>
      </w:r>
      <w:r w:rsidR="00C400B3" w:rsidRPr="00C400B3">
        <w:rPr>
          <w:sz w:val="20"/>
          <w:szCs w:val="20"/>
        </w:rPr>
        <w:t xml:space="preserve"> - ACSTDB</w:t>
      </w:r>
      <w:r w:rsidRPr="001F12DF">
        <w:rPr>
          <w:sz w:val="20"/>
          <w:szCs w:val="20"/>
        </w:rPr>
        <w:t xml:space="preserve">. </w:t>
      </w:r>
    </w:p>
    <w:p w:rsidR="0082415D" w:rsidRPr="001F12DF" w:rsidRDefault="0082415D" w:rsidP="001F12DF">
      <w:pPr>
        <w:pStyle w:val="Default"/>
        <w:numPr>
          <w:ilvl w:val="0"/>
          <w:numId w:val="13"/>
        </w:numPr>
        <w:spacing w:line="360" w:lineRule="auto"/>
        <w:ind w:left="426"/>
        <w:jc w:val="both"/>
        <w:rPr>
          <w:sz w:val="20"/>
          <w:szCs w:val="20"/>
        </w:rPr>
      </w:pPr>
      <w:r w:rsidRPr="001F12DF">
        <w:rPr>
          <w:sz w:val="20"/>
          <w:szCs w:val="20"/>
        </w:rPr>
        <w:t xml:space="preserve">O exercício do direito de auditoria por parte das Entidade Adjudicante não diminui, de qualquer modo, a responsabilidade do Adjudicatário no caso de se verificar posteriormente a deficiente execução do contrato. </w:t>
      </w:r>
    </w:p>
    <w:p w:rsidR="00F70EC1" w:rsidRPr="001F12DF" w:rsidRDefault="00F70EC1" w:rsidP="001F12DF">
      <w:pPr>
        <w:pStyle w:val="Default"/>
        <w:spacing w:line="360" w:lineRule="auto"/>
        <w:jc w:val="both"/>
        <w:rPr>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11.º</w:t>
      </w:r>
    </w:p>
    <w:p w:rsidR="0082415D" w:rsidRPr="001F12DF" w:rsidRDefault="0082415D" w:rsidP="001F12DF">
      <w:pPr>
        <w:pStyle w:val="Default"/>
        <w:spacing w:line="360" w:lineRule="auto"/>
        <w:jc w:val="center"/>
        <w:rPr>
          <w:b/>
          <w:sz w:val="20"/>
          <w:szCs w:val="20"/>
        </w:rPr>
      </w:pPr>
      <w:r w:rsidRPr="001F12DF">
        <w:rPr>
          <w:b/>
          <w:sz w:val="20"/>
          <w:szCs w:val="20"/>
        </w:rPr>
        <w:t>Qualidade da Prestação dos Serviços</w:t>
      </w:r>
    </w:p>
    <w:p w:rsidR="0082415D" w:rsidRPr="001F12DF" w:rsidRDefault="0082415D" w:rsidP="001F12DF">
      <w:pPr>
        <w:pStyle w:val="Default"/>
        <w:numPr>
          <w:ilvl w:val="0"/>
          <w:numId w:val="14"/>
        </w:numPr>
        <w:spacing w:line="360" w:lineRule="auto"/>
        <w:ind w:left="426"/>
        <w:jc w:val="both"/>
        <w:rPr>
          <w:sz w:val="20"/>
          <w:szCs w:val="20"/>
        </w:rPr>
      </w:pPr>
      <w:r w:rsidRPr="001F12DF">
        <w:rPr>
          <w:sz w:val="20"/>
          <w:szCs w:val="20"/>
        </w:rPr>
        <w:t xml:space="preserve">Todos os serviços deverão ser prestados com qualidade e profissionalismo. </w:t>
      </w:r>
    </w:p>
    <w:p w:rsidR="0082415D" w:rsidRPr="001F12DF" w:rsidRDefault="0082415D" w:rsidP="001F12DF">
      <w:pPr>
        <w:pStyle w:val="Default"/>
        <w:numPr>
          <w:ilvl w:val="0"/>
          <w:numId w:val="14"/>
        </w:numPr>
        <w:spacing w:line="360" w:lineRule="auto"/>
        <w:ind w:left="426"/>
        <w:jc w:val="both"/>
        <w:rPr>
          <w:sz w:val="20"/>
          <w:szCs w:val="20"/>
        </w:rPr>
      </w:pPr>
      <w:r w:rsidRPr="001F12DF">
        <w:rPr>
          <w:sz w:val="20"/>
          <w:szCs w:val="20"/>
        </w:rPr>
        <w:lastRenderedPageBreak/>
        <w:t xml:space="preserve">A Entidade Adjudicante dispõe do poder de direção do modo de execução das prestações do Adjudicatário no que respeita a matérias necessárias à execução do contrato carentes de regulamentação ou insuficientemente reguladas de forma a impedir que o contrato seja executado de modo inconveniente ou inoportuno, sem prejuízo da reserva de autonomia técnica ou de gestão do contratante que se encontre assegurada no contrato ou que decorra do tipo contratual aplicável ou, ainda, dos usos sociais. </w:t>
      </w:r>
    </w:p>
    <w:p w:rsidR="0082415D" w:rsidRPr="001F12DF" w:rsidRDefault="0082415D" w:rsidP="001F12DF">
      <w:pPr>
        <w:pStyle w:val="Default"/>
        <w:numPr>
          <w:ilvl w:val="0"/>
          <w:numId w:val="14"/>
        </w:numPr>
        <w:spacing w:line="360" w:lineRule="auto"/>
        <w:ind w:left="426"/>
        <w:jc w:val="both"/>
        <w:rPr>
          <w:sz w:val="20"/>
          <w:szCs w:val="20"/>
        </w:rPr>
      </w:pPr>
      <w:r w:rsidRPr="001F12DF">
        <w:rPr>
          <w:sz w:val="20"/>
          <w:szCs w:val="20"/>
        </w:rPr>
        <w:t xml:space="preserve">Para além das ações tipificadas no contrato, a direção pela Entidade Adjudicante consiste na emissão de ordens, diretivas ou instruções sobre o sentido das escolhas necessárias nos domínios da execução técnica, financeira ou jurídica das prestações contratuais, consoante o contrato em causa. </w:t>
      </w:r>
    </w:p>
    <w:p w:rsidR="00C50C38" w:rsidRDefault="00C50C38" w:rsidP="001F12DF">
      <w:pPr>
        <w:pStyle w:val="Default"/>
        <w:spacing w:line="360" w:lineRule="auto"/>
        <w:jc w:val="center"/>
        <w:rPr>
          <w:b/>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12.ª</w:t>
      </w:r>
    </w:p>
    <w:p w:rsidR="0082415D" w:rsidRPr="001F12DF" w:rsidRDefault="0082415D" w:rsidP="001F12DF">
      <w:pPr>
        <w:pStyle w:val="Default"/>
        <w:spacing w:line="360" w:lineRule="auto"/>
        <w:jc w:val="center"/>
        <w:rPr>
          <w:b/>
          <w:sz w:val="20"/>
          <w:szCs w:val="20"/>
        </w:rPr>
      </w:pPr>
      <w:r w:rsidRPr="001F12DF">
        <w:rPr>
          <w:b/>
          <w:sz w:val="20"/>
          <w:szCs w:val="20"/>
        </w:rPr>
        <w:t>Sigilo</w:t>
      </w:r>
    </w:p>
    <w:p w:rsidR="0082415D" w:rsidRPr="001F12DF" w:rsidRDefault="0082415D" w:rsidP="001F12DF">
      <w:pPr>
        <w:pStyle w:val="Default"/>
        <w:numPr>
          <w:ilvl w:val="0"/>
          <w:numId w:val="15"/>
        </w:numPr>
        <w:spacing w:line="360" w:lineRule="auto"/>
        <w:ind w:left="426"/>
        <w:jc w:val="both"/>
        <w:rPr>
          <w:sz w:val="20"/>
          <w:szCs w:val="20"/>
        </w:rPr>
      </w:pPr>
      <w:r w:rsidRPr="001F12DF">
        <w:rPr>
          <w:sz w:val="20"/>
          <w:szCs w:val="20"/>
        </w:rPr>
        <w:t xml:space="preserve">O Adjudicatário deve guardar sigilo sobre toda a informação e documentação, técnica e não técnica, comercial ou outra, relativa à Entidade Adjudicante, de que possa ter conhecimento ao abrigo ou em relação à execução do contrato. </w:t>
      </w:r>
    </w:p>
    <w:p w:rsidR="0082415D" w:rsidRPr="001F12DF" w:rsidRDefault="0082415D" w:rsidP="001F12DF">
      <w:pPr>
        <w:pStyle w:val="Default"/>
        <w:numPr>
          <w:ilvl w:val="0"/>
          <w:numId w:val="15"/>
        </w:numPr>
        <w:spacing w:line="360" w:lineRule="auto"/>
        <w:ind w:left="426"/>
        <w:jc w:val="both"/>
        <w:rPr>
          <w:sz w:val="20"/>
          <w:szCs w:val="20"/>
        </w:rPr>
      </w:pPr>
      <w:r w:rsidRPr="001F12DF">
        <w:rPr>
          <w:sz w:val="20"/>
          <w:szCs w:val="20"/>
        </w:rPr>
        <w:t xml:space="preserve">A informação e a documentação cobertas pelo dever de sigilo não podem ser transmitidas a terceiros, nem objeto de qualquer uso ou modo de aproveitamento que não o destinado direta e exclusivamente à execução do contrato, tanto durante a sua vigência como após o seu término. </w:t>
      </w:r>
    </w:p>
    <w:p w:rsidR="0082415D" w:rsidRPr="001F12DF" w:rsidRDefault="0082415D" w:rsidP="001F12DF">
      <w:pPr>
        <w:pStyle w:val="Default"/>
        <w:numPr>
          <w:ilvl w:val="0"/>
          <w:numId w:val="15"/>
        </w:numPr>
        <w:spacing w:line="360" w:lineRule="auto"/>
        <w:ind w:left="426"/>
        <w:jc w:val="both"/>
        <w:rPr>
          <w:sz w:val="20"/>
          <w:szCs w:val="20"/>
        </w:rPr>
      </w:pPr>
      <w:r w:rsidRPr="001F12DF">
        <w:rPr>
          <w:sz w:val="20"/>
          <w:szCs w:val="20"/>
        </w:rPr>
        <w:t xml:space="preserve">Exclui-se do dever de sigilo previsto a informação e a documentação que seja comprovadamente do domínio público à data da respetiva obtenção pelo Adjudicatário ou a que este seja legalmente obrigado a revelar, por força da lei, de processo judicial ou a pedido das entidades reguladoras ou outras entidades administrativas competentes. </w:t>
      </w:r>
    </w:p>
    <w:p w:rsidR="005C5AB2" w:rsidRPr="001F12DF" w:rsidRDefault="005C5AB2" w:rsidP="001F12DF">
      <w:pPr>
        <w:pStyle w:val="Default"/>
        <w:spacing w:line="360" w:lineRule="auto"/>
        <w:jc w:val="both"/>
        <w:rPr>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Secção II</w:t>
      </w:r>
    </w:p>
    <w:p w:rsidR="0082415D" w:rsidRPr="001F12DF" w:rsidRDefault="0082415D" w:rsidP="001F12DF">
      <w:pPr>
        <w:pStyle w:val="Default"/>
        <w:spacing w:line="360" w:lineRule="auto"/>
        <w:jc w:val="center"/>
        <w:rPr>
          <w:b/>
          <w:sz w:val="20"/>
          <w:szCs w:val="20"/>
        </w:rPr>
      </w:pPr>
      <w:r w:rsidRPr="001F12DF">
        <w:rPr>
          <w:b/>
          <w:sz w:val="20"/>
          <w:szCs w:val="20"/>
        </w:rPr>
        <w:t>Obrigações e Direitos da Entidade Adjudicante</w:t>
      </w:r>
    </w:p>
    <w:p w:rsidR="005C5AB2" w:rsidRPr="001F12DF" w:rsidRDefault="005C5AB2" w:rsidP="001F12DF">
      <w:pPr>
        <w:pStyle w:val="Default"/>
        <w:spacing w:line="360" w:lineRule="auto"/>
        <w:jc w:val="center"/>
        <w:rPr>
          <w:b/>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13.ª</w:t>
      </w:r>
    </w:p>
    <w:p w:rsidR="0082415D" w:rsidRPr="001F12DF" w:rsidRDefault="0082415D" w:rsidP="001F12DF">
      <w:pPr>
        <w:pStyle w:val="Default"/>
        <w:spacing w:line="360" w:lineRule="auto"/>
        <w:jc w:val="center"/>
        <w:rPr>
          <w:b/>
          <w:sz w:val="20"/>
          <w:szCs w:val="20"/>
        </w:rPr>
      </w:pPr>
      <w:r w:rsidRPr="001F12DF">
        <w:rPr>
          <w:b/>
          <w:sz w:val="20"/>
          <w:szCs w:val="20"/>
        </w:rPr>
        <w:t>Condições de Pagamento</w:t>
      </w:r>
    </w:p>
    <w:p w:rsidR="0082415D" w:rsidRPr="001F12DF" w:rsidRDefault="0082415D" w:rsidP="001F12DF">
      <w:pPr>
        <w:pStyle w:val="Default"/>
        <w:numPr>
          <w:ilvl w:val="0"/>
          <w:numId w:val="16"/>
        </w:numPr>
        <w:spacing w:line="360" w:lineRule="auto"/>
        <w:ind w:left="426"/>
        <w:jc w:val="both"/>
        <w:rPr>
          <w:sz w:val="20"/>
          <w:szCs w:val="20"/>
        </w:rPr>
      </w:pPr>
      <w:r w:rsidRPr="001F12DF">
        <w:rPr>
          <w:sz w:val="20"/>
          <w:szCs w:val="20"/>
        </w:rPr>
        <w:t>A quantia devida pela Entidade Adjudicante</w:t>
      </w:r>
      <w:proofErr w:type="gramStart"/>
      <w:r w:rsidRPr="001F12DF">
        <w:rPr>
          <w:sz w:val="20"/>
          <w:szCs w:val="20"/>
        </w:rPr>
        <w:t>,</w:t>
      </w:r>
      <w:proofErr w:type="gramEnd"/>
      <w:r w:rsidRPr="001F12DF">
        <w:rPr>
          <w:sz w:val="20"/>
          <w:szCs w:val="20"/>
        </w:rPr>
        <w:t xml:space="preserve"> deve ser paga no prazo de 90 (noventa) dias, após a receção das respetivas faturas pela Entidade Adjudicante. </w:t>
      </w:r>
    </w:p>
    <w:p w:rsidR="0082415D" w:rsidRPr="001F12DF" w:rsidRDefault="0082415D" w:rsidP="001F12DF">
      <w:pPr>
        <w:pStyle w:val="Default"/>
        <w:numPr>
          <w:ilvl w:val="0"/>
          <w:numId w:val="16"/>
        </w:numPr>
        <w:spacing w:line="360" w:lineRule="auto"/>
        <w:ind w:left="426"/>
        <w:jc w:val="both"/>
        <w:rPr>
          <w:sz w:val="20"/>
          <w:szCs w:val="20"/>
        </w:rPr>
      </w:pPr>
      <w:r w:rsidRPr="001F12DF">
        <w:rPr>
          <w:sz w:val="20"/>
          <w:szCs w:val="20"/>
        </w:rPr>
        <w:t xml:space="preserve">As faturas deverão ser emitidas periodicamente, de acordo com a fase dos trabalhos e serviços efetivamente realizados e a solicitação da Entidade Adjudicante. </w:t>
      </w:r>
    </w:p>
    <w:p w:rsidR="0082415D" w:rsidRPr="001F12DF" w:rsidRDefault="0082415D" w:rsidP="001F12DF">
      <w:pPr>
        <w:pStyle w:val="Default"/>
        <w:numPr>
          <w:ilvl w:val="0"/>
          <w:numId w:val="16"/>
        </w:numPr>
        <w:spacing w:line="360" w:lineRule="auto"/>
        <w:ind w:left="426"/>
        <w:jc w:val="both"/>
        <w:rPr>
          <w:sz w:val="20"/>
          <w:szCs w:val="20"/>
        </w:rPr>
      </w:pPr>
      <w:r w:rsidRPr="001F12DF">
        <w:rPr>
          <w:sz w:val="20"/>
          <w:szCs w:val="20"/>
        </w:rPr>
        <w:t xml:space="preserve">Em caso de discordância por parte da Entidade Adjudicante, quanto aos montantes indicados nas faturas, deve esta comunicar à Adjudicatária, por escrito os respetivos fundamentos, ficando a Adjudicatária obrigada a prestar os esclarecimentos necessários ou proceder à emissão de nova fatura devidamente corrigida. </w:t>
      </w:r>
    </w:p>
    <w:p w:rsidR="0082415D" w:rsidRPr="001F12DF" w:rsidRDefault="0082415D" w:rsidP="001F12DF">
      <w:pPr>
        <w:pStyle w:val="Default"/>
        <w:numPr>
          <w:ilvl w:val="0"/>
          <w:numId w:val="16"/>
        </w:numPr>
        <w:spacing w:line="360" w:lineRule="auto"/>
        <w:ind w:left="426"/>
        <w:jc w:val="both"/>
        <w:rPr>
          <w:sz w:val="20"/>
          <w:szCs w:val="20"/>
        </w:rPr>
      </w:pPr>
      <w:r w:rsidRPr="001F12DF">
        <w:rPr>
          <w:sz w:val="20"/>
          <w:szCs w:val="20"/>
        </w:rPr>
        <w:lastRenderedPageBreak/>
        <w:t xml:space="preserve">Desde que devidamente emitidas e observado o disposto no n.º 1 da presente cláusula, as faturas serão pagas por transferência bancária ou através de cheque contra a entrega do respetivo recibo de quitação. </w:t>
      </w:r>
    </w:p>
    <w:p w:rsidR="0082415D" w:rsidRPr="001F12DF" w:rsidRDefault="0082415D" w:rsidP="001F12DF">
      <w:pPr>
        <w:pStyle w:val="Default"/>
        <w:pageBreakBefore/>
        <w:spacing w:line="360" w:lineRule="auto"/>
        <w:jc w:val="center"/>
        <w:rPr>
          <w:b/>
          <w:sz w:val="20"/>
          <w:szCs w:val="20"/>
        </w:rPr>
      </w:pPr>
      <w:r w:rsidRPr="001F12DF">
        <w:rPr>
          <w:b/>
          <w:sz w:val="20"/>
          <w:szCs w:val="20"/>
        </w:rPr>
        <w:lastRenderedPageBreak/>
        <w:t>Cláusula 14.ª</w:t>
      </w:r>
    </w:p>
    <w:p w:rsidR="0082415D" w:rsidRPr="001F12DF" w:rsidRDefault="0082415D" w:rsidP="001F12DF">
      <w:pPr>
        <w:pStyle w:val="Default"/>
        <w:spacing w:line="360" w:lineRule="auto"/>
        <w:jc w:val="center"/>
        <w:rPr>
          <w:b/>
          <w:sz w:val="20"/>
          <w:szCs w:val="20"/>
        </w:rPr>
      </w:pPr>
      <w:r w:rsidRPr="001F12DF">
        <w:rPr>
          <w:b/>
          <w:sz w:val="20"/>
          <w:szCs w:val="20"/>
        </w:rPr>
        <w:t>Caução</w:t>
      </w:r>
    </w:p>
    <w:p w:rsidR="0082415D" w:rsidRPr="001F12DF" w:rsidRDefault="0082415D" w:rsidP="001F12DF">
      <w:pPr>
        <w:pStyle w:val="Default"/>
        <w:numPr>
          <w:ilvl w:val="2"/>
          <w:numId w:val="10"/>
        </w:numPr>
        <w:spacing w:line="360" w:lineRule="auto"/>
        <w:ind w:left="426"/>
        <w:jc w:val="both"/>
        <w:rPr>
          <w:sz w:val="20"/>
          <w:szCs w:val="20"/>
        </w:rPr>
      </w:pPr>
      <w:r w:rsidRPr="001F12DF">
        <w:rPr>
          <w:sz w:val="20"/>
          <w:szCs w:val="20"/>
        </w:rPr>
        <w:t>Não sendo exigível a prestação de caução</w:t>
      </w:r>
      <w:r w:rsidR="00EE4C6B">
        <w:rPr>
          <w:sz w:val="20"/>
          <w:szCs w:val="20"/>
        </w:rPr>
        <w:t>,</w:t>
      </w:r>
      <w:r w:rsidRPr="001F12DF">
        <w:rPr>
          <w:sz w:val="20"/>
          <w:szCs w:val="20"/>
        </w:rPr>
        <w:t xml:space="preserve"> pode a entidade adjudicante, se assim o entender, proceder à retenção de </w:t>
      </w:r>
      <w:r w:rsidR="005C5AB2" w:rsidRPr="001F12DF">
        <w:rPr>
          <w:sz w:val="20"/>
          <w:szCs w:val="20"/>
        </w:rPr>
        <w:t>5</w:t>
      </w:r>
      <w:r w:rsidRPr="001F12DF">
        <w:rPr>
          <w:sz w:val="20"/>
          <w:szCs w:val="20"/>
        </w:rPr>
        <w:t xml:space="preserve">% do valor dos pagamentos a efetuar, com vista ao cabal cumprimento do contrato nos termos </w:t>
      </w:r>
      <w:r w:rsidR="00EE4C6B">
        <w:rPr>
          <w:sz w:val="20"/>
          <w:szCs w:val="20"/>
        </w:rPr>
        <w:t xml:space="preserve">análogos ao </w:t>
      </w:r>
      <w:r w:rsidRPr="001F12DF">
        <w:rPr>
          <w:sz w:val="20"/>
          <w:szCs w:val="20"/>
        </w:rPr>
        <w:t xml:space="preserve">do n.º 3 do art.º 88.º do CCP. </w:t>
      </w:r>
    </w:p>
    <w:p w:rsidR="0082415D" w:rsidRPr="001F12DF" w:rsidRDefault="0082415D" w:rsidP="001F12DF">
      <w:pPr>
        <w:pStyle w:val="Default"/>
        <w:numPr>
          <w:ilvl w:val="2"/>
          <w:numId w:val="10"/>
        </w:numPr>
        <w:spacing w:line="360" w:lineRule="auto"/>
        <w:ind w:left="426"/>
        <w:jc w:val="both"/>
        <w:rPr>
          <w:sz w:val="20"/>
          <w:szCs w:val="20"/>
        </w:rPr>
      </w:pPr>
      <w:r w:rsidRPr="001F12DF">
        <w:rPr>
          <w:sz w:val="20"/>
          <w:szCs w:val="20"/>
        </w:rPr>
        <w:t xml:space="preserve">As retenções a efetuar serão comunicadas à adjudicatária aquando dos pagamentos. </w:t>
      </w:r>
    </w:p>
    <w:p w:rsidR="0082415D" w:rsidRPr="001F12DF" w:rsidRDefault="0082415D" w:rsidP="001F12DF">
      <w:pPr>
        <w:pStyle w:val="Default"/>
        <w:numPr>
          <w:ilvl w:val="2"/>
          <w:numId w:val="10"/>
        </w:numPr>
        <w:spacing w:line="360" w:lineRule="auto"/>
        <w:ind w:left="426"/>
        <w:jc w:val="both"/>
        <w:rPr>
          <w:sz w:val="20"/>
          <w:szCs w:val="20"/>
        </w:rPr>
      </w:pPr>
      <w:r w:rsidRPr="001F12DF">
        <w:rPr>
          <w:sz w:val="20"/>
          <w:szCs w:val="20"/>
        </w:rPr>
        <w:t xml:space="preserve">Os valores retidos serão pagos pela entidade adjudicante após o cumprimento integral do contrato e de todos os serviços objeto do mesmo, sem prejuízo de a entidade adjudicante poder imputar e reter os mesmos a título de penalidades contratuais. </w:t>
      </w:r>
    </w:p>
    <w:p w:rsidR="005C5AB2" w:rsidRPr="001F12DF" w:rsidRDefault="005C5AB2" w:rsidP="001F12DF">
      <w:pPr>
        <w:pStyle w:val="Default"/>
        <w:spacing w:line="360" w:lineRule="auto"/>
        <w:jc w:val="both"/>
        <w:rPr>
          <w:b/>
          <w:bCs/>
          <w:sz w:val="20"/>
          <w:szCs w:val="20"/>
        </w:rPr>
      </w:pPr>
    </w:p>
    <w:p w:rsidR="0082415D" w:rsidRPr="001F12DF" w:rsidRDefault="0082415D" w:rsidP="001F12DF">
      <w:pPr>
        <w:pStyle w:val="Default"/>
        <w:spacing w:line="360" w:lineRule="auto"/>
        <w:jc w:val="center"/>
        <w:rPr>
          <w:sz w:val="20"/>
          <w:szCs w:val="20"/>
        </w:rPr>
      </w:pPr>
      <w:r w:rsidRPr="001F12DF">
        <w:rPr>
          <w:b/>
          <w:bCs/>
          <w:sz w:val="20"/>
          <w:szCs w:val="20"/>
        </w:rPr>
        <w:t>Capitulo IV</w:t>
      </w:r>
    </w:p>
    <w:p w:rsidR="0082415D" w:rsidRPr="001F12DF" w:rsidRDefault="0082415D" w:rsidP="001F12DF">
      <w:pPr>
        <w:pStyle w:val="Default"/>
        <w:spacing w:line="360" w:lineRule="auto"/>
        <w:jc w:val="center"/>
        <w:rPr>
          <w:sz w:val="20"/>
          <w:szCs w:val="20"/>
        </w:rPr>
      </w:pPr>
      <w:r w:rsidRPr="001F12DF">
        <w:rPr>
          <w:b/>
          <w:bCs/>
          <w:sz w:val="20"/>
          <w:szCs w:val="20"/>
        </w:rPr>
        <w:t>Penalidades Contratuais e Resolução</w:t>
      </w:r>
    </w:p>
    <w:p w:rsidR="005C5AB2" w:rsidRPr="001F12DF" w:rsidRDefault="005C5AB2" w:rsidP="001F12DF">
      <w:pPr>
        <w:pStyle w:val="Default"/>
        <w:spacing w:line="360" w:lineRule="auto"/>
        <w:jc w:val="both"/>
        <w:rPr>
          <w:b/>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15.ª</w:t>
      </w:r>
    </w:p>
    <w:p w:rsidR="0082415D" w:rsidRPr="001F12DF" w:rsidRDefault="0082415D" w:rsidP="001F12DF">
      <w:pPr>
        <w:pStyle w:val="Default"/>
        <w:spacing w:line="360" w:lineRule="auto"/>
        <w:jc w:val="center"/>
        <w:rPr>
          <w:b/>
          <w:sz w:val="20"/>
          <w:szCs w:val="20"/>
        </w:rPr>
      </w:pPr>
      <w:r w:rsidRPr="001F12DF">
        <w:rPr>
          <w:b/>
          <w:sz w:val="20"/>
          <w:szCs w:val="20"/>
        </w:rPr>
        <w:t>Penalidades Contratuais</w:t>
      </w:r>
    </w:p>
    <w:p w:rsidR="0082415D" w:rsidRPr="001F12DF" w:rsidRDefault="0082415D" w:rsidP="001F12DF">
      <w:pPr>
        <w:pStyle w:val="Default"/>
        <w:numPr>
          <w:ilvl w:val="0"/>
          <w:numId w:val="19"/>
        </w:numPr>
        <w:spacing w:line="360" w:lineRule="auto"/>
        <w:ind w:left="426"/>
        <w:jc w:val="both"/>
        <w:rPr>
          <w:sz w:val="20"/>
          <w:szCs w:val="20"/>
        </w:rPr>
      </w:pPr>
      <w:r w:rsidRPr="001F12DF">
        <w:rPr>
          <w:sz w:val="20"/>
          <w:szCs w:val="20"/>
        </w:rPr>
        <w:t xml:space="preserve">Pelo incumprimento de obrigações emergentes do contrato, a Entidade Adjudicante pode exigir do Adjudicatário o pagamento de uma pena pecuniária, de montante a fixar em função da gravidade do incumprimento, nos seguintes termos: </w:t>
      </w:r>
    </w:p>
    <w:p w:rsidR="0082415D" w:rsidRPr="001F12DF" w:rsidRDefault="0082415D" w:rsidP="001F12DF">
      <w:pPr>
        <w:pStyle w:val="Default"/>
        <w:numPr>
          <w:ilvl w:val="0"/>
          <w:numId w:val="20"/>
        </w:numPr>
        <w:spacing w:line="360" w:lineRule="auto"/>
        <w:ind w:left="993"/>
        <w:jc w:val="both"/>
        <w:rPr>
          <w:sz w:val="20"/>
          <w:szCs w:val="20"/>
        </w:rPr>
      </w:pPr>
      <w:r w:rsidRPr="001F12DF">
        <w:rPr>
          <w:sz w:val="20"/>
          <w:szCs w:val="20"/>
        </w:rPr>
        <w:t xml:space="preserve">Pelo incumprimento das obrigações do adjudicatário previstas no Capitulo III, Secção I, será aplicada uma sanção que poderá ir até 20% do valor contratual; </w:t>
      </w:r>
    </w:p>
    <w:p w:rsidR="0082415D" w:rsidRPr="001F12DF" w:rsidRDefault="0082415D" w:rsidP="001F12DF">
      <w:pPr>
        <w:pStyle w:val="Default"/>
        <w:numPr>
          <w:ilvl w:val="0"/>
          <w:numId w:val="20"/>
        </w:numPr>
        <w:spacing w:line="360" w:lineRule="auto"/>
        <w:ind w:left="993"/>
        <w:jc w:val="both"/>
        <w:rPr>
          <w:sz w:val="20"/>
          <w:szCs w:val="20"/>
        </w:rPr>
      </w:pPr>
      <w:r w:rsidRPr="001F12DF">
        <w:rPr>
          <w:sz w:val="20"/>
          <w:szCs w:val="20"/>
        </w:rPr>
        <w:t xml:space="preserve">Pelo incumprimento das restantes obrigações do adjudicatário, constantes do presente caderno de encargos e contrato, será aplicada uma sanção que poderá ir até 25 % do valor contratual. </w:t>
      </w:r>
    </w:p>
    <w:p w:rsidR="0082415D" w:rsidRPr="001F12DF" w:rsidRDefault="0082415D" w:rsidP="001F12DF">
      <w:pPr>
        <w:pStyle w:val="Default"/>
        <w:numPr>
          <w:ilvl w:val="0"/>
          <w:numId w:val="20"/>
        </w:numPr>
        <w:spacing w:line="360" w:lineRule="auto"/>
        <w:ind w:left="993"/>
        <w:jc w:val="both"/>
        <w:rPr>
          <w:sz w:val="20"/>
          <w:szCs w:val="20"/>
        </w:rPr>
      </w:pPr>
      <w:r w:rsidRPr="001F12DF">
        <w:rPr>
          <w:sz w:val="20"/>
          <w:szCs w:val="20"/>
        </w:rPr>
        <w:t xml:space="preserve">Na determinação da gravidade do incumprimento, a Entidade Adjudicante tem em conta, nomeadamente, a duração da infração, a sua eventual reiteração, o grau de culpa da Adjudicatária e as consequências do incumprimento. </w:t>
      </w:r>
    </w:p>
    <w:p w:rsidR="0082415D" w:rsidRPr="001F12DF" w:rsidRDefault="0082415D" w:rsidP="001F12DF">
      <w:pPr>
        <w:pStyle w:val="Default"/>
        <w:numPr>
          <w:ilvl w:val="0"/>
          <w:numId w:val="20"/>
        </w:numPr>
        <w:spacing w:line="360" w:lineRule="auto"/>
        <w:ind w:left="993"/>
        <w:jc w:val="both"/>
        <w:rPr>
          <w:sz w:val="20"/>
          <w:szCs w:val="20"/>
        </w:rPr>
      </w:pPr>
      <w:r w:rsidRPr="001F12DF">
        <w:rPr>
          <w:sz w:val="20"/>
          <w:szCs w:val="20"/>
        </w:rPr>
        <w:t xml:space="preserve">A Entidade Adjudicante pode compensar os pagamentos devidos ao abrigo do contrato com as penas pecuniárias devidas nos termos da presente cláusula. </w:t>
      </w:r>
    </w:p>
    <w:p w:rsidR="0082415D" w:rsidRPr="001F12DF" w:rsidRDefault="0082415D" w:rsidP="001F12DF">
      <w:pPr>
        <w:pStyle w:val="Default"/>
        <w:numPr>
          <w:ilvl w:val="0"/>
          <w:numId w:val="20"/>
        </w:numPr>
        <w:spacing w:line="360" w:lineRule="auto"/>
        <w:ind w:left="993"/>
        <w:jc w:val="both"/>
        <w:rPr>
          <w:sz w:val="20"/>
          <w:szCs w:val="20"/>
        </w:rPr>
      </w:pPr>
      <w:r w:rsidRPr="001F12DF">
        <w:rPr>
          <w:sz w:val="20"/>
          <w:szCs w:val="20"/>
        </w:rPr>
        <w:t xml:space="preserve">As penas pecuniárias previstas na presente cláusula não obstam a que a Entidade Adjudicante exija uma indemnização pelo dano excedente, bem como a devolução nos termos do ponto 2 seguinte. </w:t>
      </w:r>
    </w:p>
    <w:p w:rsidR="0082415D" w:rsidRPr="001F12DF" w:rsidRDefault="0082415D" w:rsidP="001F12DF">
      <w:pPr>
        <w:pStyle w:val="Default"/>
        <w:numPr>
          <w:ilvl w:val="0"/>
          <w:numId w:val="19"/>
        </w:numPr>
        <w:spacing w:line="360" w:lineRule="auto"/>
        <w:ind w:left="426"/>
        <w:jc w:val="both"/>
        <w:rPr>
          <w:sz w:val="20"/>
          <w:szCs w:val="20"/>
        </w:rPr>
      </w:pPr>
      <w:r w:rsidRPr="001F12DF">
        <w:rPr>
          <w:sz w:val="20"/>
          <w:szCs w:val="20"/>
        </w:rPr>
        <w:t xml:space="preserve">A entidade prestadora do serviço compromete-se a devolver à Entidade Adjudicante o montante do preço ou a parte do preço pago sempre que a despesa ou parte da despesa não seja paga pelas entidades financiadoras por erro, deficiência ou insuficiência imputável ao serviço prestado ou à entidade prestadora adjudicatária. </w:t>
      </w:r>
    </w:p>
    <w:p w:rsidR="001F12DF" w:rsidRPr="001F12DF" w:rsidRDefault="001F12DF" w:rsidP="001F12DF">
      <w:pPr>
        <w:pStyle w:val="Default"/>
        <w:spacing w:line="360" w:lineRule="auto"/>
        <w:jc w:val="both"/>
        <w:rPr>
          <w:b/>
          <w:sz w:val="20"/>
          <w:szCs w:val="20"/>
        </w:rPr>
      </w:pPr>
    </w:p>
    <w:p w:rsidR="0082415D" w:rsidRPr="001F12DF" w:rsidRDefault="0082415D" w:rsidP="001F12DF">
      <w:pPr>
        <w:pStyle w:val="Default"/>
        <w:spacing w:line="360" w:lineRule="auto"/>
        <w:jc w:val="center"/>
        <w:rPr>
          <w:b/>
          <w:sz w:val="20"/>
          <w:szCs w:val="20"/>
        </w:rPr>
      </w:pPr>
      <w:r w:rsidRPr="001F12DF">
        <w:rPr>
          <w:b/>
          <w:sz w:val="20"/>
          <w:szCs w:val="20"/>
        </w:rPr>
        <w:t>Cláusula 16.ª</w:t>
      </w:r>
    </w:p>
    <w:p w:rsidR="0082415D" w:rsidRPr="001F12DF" w:rsidRDefault="0082415D" w:rsidP="001F12DF">
      <w:pPr>
        <w:pStyle w:val="Default"/>
        <w:spacing w:line="360" w:lineRule="auto"/>
        <w:jc w:val="center"/>
        <w:rPr>
          <w:b/>
          <w:sz w:val="20"/>
          <w:szCs w:val="20"/>
        </w:rPr>
      </w:pPr>
      <w:r w:rsidRPr="001F12DF">
        <w:rPr>
          <w:b/>
          <w:sz w:val="20"/>
          <w:szCs w:val="20"/>
        </w:rPr>
        <w:t>Causas de Força Maior</w:t>
      </w:r>
    </w:p>
    <w:p w:rsidR="0082415D" w:rsidRPr="001F12DF" w:rsidRDefault="0082415D" w:rsidP="001F12DF">
      <w:pPr>
        <w:pStyle w:val="Default"/>
        <w:numPr>
          <w:ilvl w:val="0"/>
          <w:numId w:val="21"/>
        </w:numPr>
        <w:spacing w:line="360" w:lineRule="auto"/>
        <w:ind w:left="426"/>
        <w:jc w:val="both"/>
        <w:rPr>
          <w:sz w:val="20"/>
          <w:szCs w:val="20"/>
        </w:rPr>
      </w:pPr>
      <w:r w:rsidRPr="001F12DF">
        <w:rPr>
          <w:sz w:val="20"/>
          <w:szCs w:val="20"/>
        </w:rPr>
        <w:t xml:space="preserve">Não podem ser impostas penalidades ao Adjudicatário, nem é tida como incumprimento, a não realização pontual das prestações contratuais a cargo de qualquer das partes que </w:t>
      </w:r>
      <w:r w:rsidRPr="001F12DF">
        <w:rPr>
          <w:sz w:val="20"/>
          <w:szCs w:val="20"/>
        </w:rPr>
        <w:lastRenderedPageBreak/>
        <w:t xml:space="preserve">resulte de caso de força maior ou que não lhe seja imputável, entendendo-se como tal as circunstâncias que impossibilitem a respetiva realização, alheias à vontade da parte afetada, que ela não pudesse conhecer ou prever à data da celebração do contrato e cujos efeitos não lhe fosse razoavelmente exigível contornar ou evitar. </w:t>
      </w:r>
    </w:p>
    <w:p w:rsidR="0082415D" w:rsidRPr="001F12DF" w:rsidRDefault="0082415D" w:rsidP="001F12DF">
      <w:pPr>
        <w:pStyle w:val="Default"/>
        <w:numPr>
          <w:ilvl w:val="0"/>
          <w:numId w:val="21"/>
        </w:numPr>
        <w:spacing w:line="360" w:lineRule="auto"/>
        <w:ind w:left="426"/>
        <w:jc w:val="both"/>
        <w:rPr>
          <w:sz w:val="20"/>
          <w:szCs w:val="20"/>
        </w:rPr>
      </w:pPr>
      <w:r w:rsidRPr="001F12DF">
        <w:rPr>
          <w:sz w:val="20"/>
          <w:szCs w:val="20"/>
        </w:rPr>
        <w:t xml:space="preserve">Pode consubstanciar um caso de força maior nos termos do número anterior, nomeadamente, os tremores de terra, inundações, incêndios, epidemias, sabotagens, greves, embargos ou bloqueios internacionais, atos de guerra ou terrorismo, motins e determinações governamentais ou administrativas injuntivas. </w:t>
      </w:r>
    </w:p>
    <w:p w:rsidR="0082415D" w:rsidRPr="001F12DF" w:rsidRDefault="0082415D" w:rsidP="001F12DF">
      <w:pPr>
        <w:pStyle w:val="Default"/>
        <w:numPr>
          <w:ilvl w:val="0"/>
          <w:numId w:val="21"/>
        </w:numPr>
        <w:spacing w:line="360" w:lineRule="auto"/>
        <w:ind w:left="426"/>
        <w:jc w:val="both"/>
        <w:rPr>
          <w:sz w:val="20"/>
          <w:szCs w:val="20"/>
        </w:rPr>
      </w:pPr>
      <w:r w:rsidRPr="001F12DF">
        <w:rPr>
          <w:sz w:val="20"/>
          <w:szCs w:val="20"/>
        </w:rPr>
        <w:t xml:space="preserve">Não constituem força maior, designadamente: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Circunstâncias que não constituem força maior para os subcontratados da Adjudicatária, na parte em que intervenham;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Greves ou conflitos laborais limitados às sociedades do Adjudicatário ou a grupos de sociedades em que esta se integre, bem como a sociedade ou grupos de sociedades dos seus subcontratados;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Determinações governamentais, administrativas, ou judiciais de natureza sancionatória ou de outra forma resultantes do incumprimento pela Adjudicatária de deveres ou ónus que sobre ele recaiam;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Manifestações populares devidas ao incumprimento pela Adjudicatária de normas legais;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Incêndios ou inundações com origem nas instalações da Adjudicatária cuja causa, propagação ou proporções se devam a culpa ou negligência sua ou ao incumprimento de normas de segurança; </w:t>
      </w:r>
    </w:p>
    <w:p w:rsidR="0082415D" w:rsidRPr="001F12DF" w:rsidRDefault="0082415D" w:rsidP="001F12DF">
      <w:pPr>
        <w:pStyle w:val="Default"/>
        <w:numPr>
          <w:ilvl w:val="0"/>
          <w:numId w:val="22"/>
        </w:numPr>
        <w:spacing w:line="360" w:lineRule="auto"/>
        <w:ind w:left="993"/>
        <w:jc w:val="both"/>
        <w:rPr>
          <w:sz w:val="20"/>
          <w:szCs w:val="20"/>
        </w:rPr>
      </w:pPr>
      <w:r w:rsidRPr="001F12DF">
        <w:rPr>
          <w:sz w:val="20"/>
          <w:szCs w:val="20"/>
        </w:rPr>
        <w:t xml:space="preserve">Avarias nos sistemas informáticos ou mecânicos da Adjudicatária não devidas a sabotagem e pelos quais a mesma não possa ser responsabilizada; </w:t>
      </w:r>
    </w:p>
    <w:p w:rsidR="0082415D" w:rsidRDefault="0082415D" w:rsidP="00236014">
      <w:pPr>
        <w:pStyle w:val="Default"/>
        <w:numPr>
          <w:ilvl w:val="0"/>
          <w:numId w:val="21"/>
        </w:numPr>
        <w:spacing w:line="360" w:lineRule="auto"/>
        <w:ind w:left="426"/>
        <w:jc w:val="both"/>
        <w:rPr>
          <w:sz w:val="20"/>
          <w:szCs w:val="20"/>
        </w:rPr>
      </w:pPr>
      <w:r w:rsidRPr="001F12DF">
        <w:rPr>
          <w:sz w:val="20"/>
          <w:szCs w:val="20"/>
        </w:rPr>
        <w:t xml:space="preserve">A ocorrência de circunstâncias que possam consubstanciar casos de força maior deve ser imediatamente comunicadas à outra parte. </w:t>
      </w:r>
    </w:p>
    <w:p w:rsidR="0082415D" w:rsidRPr="00236014" w:rsidRDefault="0082415D" w:rsidP="00236014">
      <w:pPr>
        <w:pStyle w:val="Default"/>
        <w:numPr>
          <w:ilvl w:val="0"/>
          <w:numId w:val="21"/>
        </w:numPr>
        <w:spacing w:line="360" w:lineRule="auto"/>
        <w:ind w:left="426"/>
        <w:jc w:val="both"/>
        <w:rPr>
          <w:sz w:val="20"/>
          <w:szCs w:val="20"/>
        </w:rPr>
      </w:pPr>
      <w:r w:rsidRPr="00236014">
        <w:rPr>
          <w:sz w:val="20"/>
          <w:szCs w:val="20"/>
        </w:rPr>
        <w:t xml:space="preserve">A força maior determina a prorrogação dos prazos de cumprimento das obrigações contratuais afetadas pelo período de tempo comprovadamente correspondente ao impedimento resultante da força maior, sem prejuízo da data de conclusão do projeto estipulada. </w:t>
      </w:r>
    </w:p>
    <w:p w:rsidR="005C5AB2" w:rsidRPr="001F12DF" w:rsidRDefault="005C5AB2" w:rsidP="001F12DF">
      <w:pPr>
        <w:pStyle w:val="Default"/>
        <w:spacing w:line="360" w:lineRule="auto"/>
        <w:jc w:val="both"/>
        <w:rPr>
          <w:sz w:val="20"/>
          <w:szCs w:val="20"/>
        </w:rPr>
      </w:pPr>
    </w:p>
    <w:p w:rsidR="0082415D" w:rsidRPr="001F12DF" w:rsidRDefault="0082415D" w:rsidP="00236014">
      <w:pPr>
        <w:pStyle w:val="Default"/>
        <w:spacing w:line="360" w:lineRule="auto"/>
        <w:jc w:val="center"/>
        <w:rPr>
          <w:b/>
          <w:sz w:val="20"/>
          <w:szCs w:val="20"/>
        </w:rPr>
      </w:pPr>
      <w:r w:rsidRPr="001F12DF">
        <w:rPr>
          <w:b/>
          <w:sz w:val="20"/>
          <w:szCs w:val="20"/>
        </w:rPr>
        <w:t>Cláusula 17.ª</w:t>
      </w:r>
    </w:p>
    <w:p w:rsidR="0082415D" w:rsidRPr="001F12DF" w:rsidRDefault="0082415D" w:rsidP="00236014">
      <w:pPr>
        <w:pStyle w:val="Default"/>
        <w:spacing w:line="360" w:lineRule="auto"/>
        <w:jc w:val="center"/>
        <w:rPr>
          <w:b/>
          <w:sz w:val="20"/>
          <w:szCs w:val="20"/>
        </w:rPr>
      </w:pPr>
      <w:r w:rsidRPr="001F12DF">
        <w:rPr>
          <w:b/>
          <w:sz w:val="20"/>
          <w:szCs w:val="20"/>
        </w:rPr>
        <w:t>Resolução contratual por parte da Entidade Adjudicante</w:t>
      </w:r>
    </w:p>
    <w:p w:rsidR="0082415D" w:rsidRPr="001F12DF" w:rsidRDefault="0082415D" w:rsidP="00236014">
      <w:pPr>
        <w:pStyle w:val="Default"/>
        <w:numPr>
          <w:ilvl w:val="0"/>
          <w:numId w:val="24"/>
        </w:numPr>
        <w:spacing w:line="360" w:lineRule="auto"/>
        <w:ind w:left="426"/>
        <w:jc w:val="both"/>
        <w:rPr>
          <w:sz w:val="20"/>
          <w:szCs w:val="20"/>
        </w:rPr>
      </w:pPr>
      <w:r w:rsidRPr="001F12DF">
        <w:rPr>
          <w:sz w:val="20"/>
          <w:szCs w:val="20"/>
        </w:rPr>
        <w:t xml:space="preserve">Sem prejuízo de outros fundamentos de resolução do contrato previstos na lei, a Entidade Adjudicante pode resolver o contrato, a título sancionatório, no caso de o Adjudicatário violar de forma grave ou reiterada qualquer das obrigações que lhe incumbem. </w:t>
      </w:r>
    </w:p>
    <w:p w:rsidR="0082415D" w:rsidRPr="001F12DF" w:rsidRDefault="0082415D" w:rsidP="00236014">
      <w:pPr>
        <w:pStyle w:val="Default"/>
        <w:numPr>
          <w:ilvl w:val="0"/>
          <w:numId w:val="24"/>
        </w:numPr>
        <w:spacing w:line="360" w:lineRule="auto"/>
        <w:ind w:left="426"/>
        <w:jc w:val="both"/>
        <w:rPr>
          <w:sz w:val="20"/>
          <w:szCs w:val="20"/>
        </w:rPr>
      </w:pPr>
      <w:r w:rsidRPr="001F12DF">
        <w:rPr>
          <w:sz w:val="20"/>
          <w:szCs w:val="20"/>
        </w:rPr>
        <w:t xml:space="preserve">A Entidade Adjudicante pode resolver o contrato quando ocorra qualquer circunstância que leve à perda da confiança entre si e o Adjudicatário. </w:t>
      </w:r>
    </w:p>
    <w:p w:rsidR="0082415D" w:rsidRPr="001F12DF" w:rsidRDefault="0082415D" w:rsidP="00236014">
      <w:pPr>
        <w:pStyle w:val="Default"/>
        <w:numPr>
          <w:ilvl w:val="0"/>
          <w:numId w:val="24"/>
        </w:numPr>
        <w:spacing w:line="360" w:lineRule="auto"/>
        <w:ind w:left="426"/>
        <w:jc w:val="both"/>
        <w:rPr>
          <w:sz w:val="20"/>
          <w:szCs w:val="20"/>
        </w:rPr>
      </w:pPr>
      <w:r w:rsidRPr="001F12DF">
        <w:rPr>
          <w:sz w:val="20"/>
          <w:szCs w:val="20"/>
        </w:rPr>
        <w:t xml:space="preserve">O direito de resolução referido no número anterior exerce-se mediante declaração escrita enviada ao Adjudicatário. </w:t>
      </w:r>
    </w:p>
    <w:p w:rsidR="005C5AB2" w:rsidRPr="001F12DF" w:rsidRDefault="005C5AB2" w:rsidP="001F12DF">
      <w:pPr>
        <w:pStyle w:val="Default"/>
        <w:spacing w:line="360" w:lineRule="auto"/>
        <w:jc w:val="both"/>
        <w:rPr>
          <w:sz w:val="20"/>
          <w:szCs w:val="20"/>
        </w:rPr>
      </w:pPr>
    </w:p>
    <w:p w:rsidR="0082415D" w:rsidRPr="001F12DF" w:rsidRDefault="0082415D" w:rsidP="00236014">
      <w:pPr>
        <w:pStyle w:val="Default"/>
        <w:spacing w:line="360" w:lineRule="auto"/>
        <w:jc w:val="center"/>
        <w:rPr>
          <w:b/>
          <w:sz w:val="20"/>
          <w:szCs w:val="20"/>
        </w:rPr>
      </w:pPr>
      <w:r w:rsidRPr="001F12DF">
        <w:rPr>
          <w:b/>
          <w:sz w:val="20"/>
          <w:szCs w:val="20"/>
        </w:rPr>
        <w:t>Cláusula 18.ª</w:t>
      </w:r>
    </w:p>
    <w:p w:rsidR="0082415D" w:rsidRPr="001F12DF" w:rsidRDefault="0082415D" w:rsidP="00236014">
      <w:pPr>
        <w:pStyle w:val="Default"/>
        <w:spacing w:line="360" w:lineRule="auto"/>
        <w:jc w:val="center"/>
        <w:rPr>
          <w:b/>
          <w:sz w:val="20"/>
          <w:szCs w:val="20"/>
        </w:rPr>
      </w:pPr>
      <w:r w:rsidRPr="001F12DF">
        <w:rPr>
          <w:b/>
          <w:sz w:val="20"/>
          <w:szCs w:val="20"/>
        </w:rPr>
        <w:t>Resolução contratual por parte do adjudicatário</w:t>
      </w:r>
    </w:p>
    <w:p w:rsidR="0082415D" w:rsidRPr="001F12DF" w:rsidRDefault="0082415D" w:rsidP="001F12DF">
      <w:pPr>
        <w:pStyle w:val="Default"/>
        <w:spacing w:line="360" w:lineRule="auto"/>
        <w:jc w:val="both"/>
        <w:rPr>
          <w:sz w:val="20"/>
          <w:szCs w:val="20"/>
        </w:rPr>
      </w:pPr>
      <w:r w:rsidRPr="001F12DF">
        <w:rPr>
          <w:sz w:val="20"/>
          <w:szCs w:val="20"/>
        </w:rPr>
        <w:t xml:space="preserve">Sem prejuízo de outros fundamentos de resolução previstos na lei, o Adjudicatário pode resolver o contrato quando qualquer montante que lhe seja devido esteja em dívida há mais de seis meses, excluindo juros. </w:t>
      </w:r>
    </w:p>
    <w:p w:rsidR="005C5AB2" w:rsidRPr="001F12DF" w:rsidRDefault="005C5AB2" w:rsidP="001F12DF">
      <w:pPr>
        <w:pStyle w:val="Default"/>
        <w:spacing w:line="360" w:lineRule="auto"/>
        <w:jc w:val="both"/>
        <w:rPr>
          <w:b/>
          <w:bCs/>
          <w:sz w:val="20"/>
          <w:szCs w:val="20"/>
        </w:rPr>
      </w:pPr>
    </w:p>
    <w:p w:rsidR="0082415D" w:rsidRPr="001F12DF" w:rsidRDefault="0082415D" w:rsidP="00236014">
      <w:pPr>
        <w:pStyle w:val="Default"/>
        <w:spacing w:line="360" w:lineRule="auto"/>
        <w:jc w:val="center"/>
        <w:rPr>
          <w:sz w:val="20"/>
          <w:szCs w:val="20"/>
        </w:rPr>
      </w:pPr>
      <w:r w:rsidRPr="001F12DF">
        <w:rPr>
          <w:b/>
          <w:bCs/>
          <w:sz w:val="20"/>
          <w:szCs w:val="20"/>
        </w:rPr>
        <w:t>Capítulo V</w:t>
      </w:r>
    </w:p>
    <w:p w:rsidR="0082415D" w:rsidRPr="001F12DF" w:rsidRDefault="0082415D" w:rsidP="00236014">
      <w:pPr>
        <w:pStyle w:val="Default"/>
        <w:spacing w:line="360" w:lineRule="auto"/>
        <w:jc w:val="center"/>
        <w:rPr>
          <w:sz w:val="20"/>
          <w:szCs w:val="20"/>
        </w:rPr>
      </w:pPr>
      <w:r w:rsidRPr="001F12DF">
        <w:rPr>
          <w:b/>
          <w:bCs/>
          <w:sz w:val="20"/>
          <w:szCs w:val="20"/>
        </w:rPr>
        <w:t>Disposições Finais</w:t>
      </w:r>
    </w:p>
    <w:p w:rsidR="00C50C38" w:rsidRDefault="00C50C38" w:rsidP="00081845">
      <w:pPr>
        <w:pStyle w:val="Default"/>
        <w:spacing w:line="360" w:lineRule="auto"/>
        <w:jc w:val="center"/>
        <w:rPr>
          <w:b/>
          <w:sz w:val="20"/>
          <w:szCs w:val="20"/>
        </w:rPr>
      </w:pPr>
    </w:p>
    <w:p w:rsidR="0082415D" w:rsidRPr="001F12DF" w:rsidRDefault="0082415D" w:rsidP="00081845">
      <w:pPr>
        <w:pStyle w:val="Default"/>
        <w:spacing w:line="360" w:lineRule="auto"/>
        <w:jc w:val="center"/>
        <w:rPr>
          <w:b/>
          <w:sz w:val="20"/>
          <w:szCs w:val="20"/>
        </w:rPr>
      </w:pPr>
      <w:r w:rsidRPr="001F12DF">
        <w:rPr>
          <w:b/>
          <w:sz w:val="20"/>
          <w:szCs w:val="20"/>
        </w:rPr>
        <w:t>Cláusula 19.ª</w:t>
      </w:r>
    </w:p>
    <w:p w:rsidR="0082415D" w:rsidRPr="001F12DF" w:rsidRDefault="0082415D" w:rsidP="00081845">
      <w:pPr>
        <w:pStyle w:val="Default"/>
        <w:spacing w:line="360" w:lineRule="auto"/>
        <w:jc w:val="center"/>
        <w:rPr>
          <w:b/>
          <w:sz w:val="20"/>
          <w:szCs w:val="20"/>
        </w:rPr>
      </w:pPr>
      <w:r w:rsidRPr="001F12DF">
        <w:rPr>
          <w:b/>
          <w:sz w:val="20"/>
          <w:szCs w:val="20"/>
        </w:rPr>
        <w:t>Subcontratação e Cessão da Posição Contratual</w:t>
      </w:r>
    </w:p>
    <w:p w:rsidR="0082415D" w:rsidRPr="001F12DF" w:rsidRDefault="0082415D" w:rsidP="001F12DF">
      <w:pPr>
        <w:pStyle w:val="Default"/>
        <w:spacing w:line="360" w:lineRule="auto"/>
        <w:jc w:val="both"/>
        <w:rPr>
          <w:sz w:val="20"/>
          <w:szCs w:val="20"/>
        </w:rPr>
      </w:pPr>
      <w:r w:rsidRPr="001F12DF">
        <w:rPr>
          <w:sz w:val="20"/>
          <w:szCs w:val="20"/>
        </w:rPr>
        <w:t xml:space="preserve">A subcontratação pelo Adjudicatário e a cessão da posição contratual por qualquer das partes depende da prévia comunicação e autorização da outra parte, nos termos do CCP. </w:t>
      </w:r>
    </w:p>
    <w:p w:rsidR="005C5AB2" w:rsidRPr="001F12DF" w:rsidRDefault="005C5AB2" w:rsidP="001F12DF">
      <w:pPr>
        <w:pStyle w:val="Default"/>
        <w:spacing w:line="360" w:lineRule="auto"/>
        <w:jc w:val="both"/>
        <w:rPr>
          <w:sz w:val="20"/>
          <w:szCs w:val="20"/>
        </w:rPr>
      </w:pPr>
    </w:p>
    <w:p w:rsidR="0082415D" w:rsidRPr="001F12DF" w:rsidRDefault="0082415D" w:rsidP="00081845">
      <w:pPr>
        <w:pStyle w:val="Default"/>
        <w:spacing w:line="360" w:lineRule="auto"/>
        <w:jc w:val="center"/>
        <w:rPr>
          <w:b/>
          <w:sz w:val="20"/>
          <w:szCs w:val="20"/>
        </w:rPr>
      </w:pPr>
      <w:r w:rsidRPr="001F12DF">
        <w:rPr>
          <w:b/>
          <w:sz w:val="20"/>
          <w:szCs w:val="20"/>
        </w:rPr>
        <w:t>Cláusula 20.ª</w:t>
      </w:r>
    </w:p>
    <w:p w:rsidR="0082415D" w:rsidRPr="001F12DF" w:rsidRDefault="0082415D" w:rsidP="00081845">
      <w:pPr>
        <w:pStyle w:val="Default"/>
        <w:spacing w:line="360" w:lineRule="auto"/>
        <w:jc w:val="center"/>
        <w:rPr>
          <w:b/>
          <w:sz w:val="20"/>
          <w:szCs w:val="20"/>
        </w:rPr>
      </w:pPr>
      <w:r w:rsidRPr="001F12DF">
        <w:rPr>
          <w:b/>
          <w:sz w:val="20"/>
          <w:szCs w:val="20"/>
        </w:rPr>
        <w:t>Comunicações e Notificações</w:t>
      </w:r>
    </w:p>
    <w:p w:rsidR="00C50C38" w:rsidRDefault="0082415D" w:rsidP="00236014">
      <w:pPr>
        <w:pStyle w:val="Default"/>
        <w:numPr>
          <w:ilvl w:val="0"/>
          <w:numId w:val="25"/>
        </w:numPr>
        <w:spacing w:line="360" w:lineRule="auto"/>
        <w:ind w:left="426"/>
        <w:jc w:val="both"/>
        <w:rPr>
          <w:sz w:val="20"/>
          <w:szCs w:val="20"/>
        </w:rPr>
      </w:pPr>
      <w:r w:rsidRPr="001F12DF">
        <w:rPr>
          <w:sz w:val="20"/>
          <w:szCs w:val="20"/>
        </w:rPr>
        <w:t>Sem prejuízo de poderem ser acordadas outras regras quanto às notificações e comunicações entre as partes do contrato na fase da sua formação, estas devem ser dirigidas, nos termos do CCP através d</w:t>
      </w:r>
      <w:r w:rsidR="005C5AB2" w:rsidRPr="001F12DF">
        <w:rPr>
          <w:sz w:val="20"/>
          <w:szCs w:val="20"/>
        </w:rPr>
        <w:t xml:space="preserve">o </w:t>
      </w:r>
      <w:proofErr w:type="gramStart"/>
      <w:r w:rsidR="005C5AB2" w:rsidRPr="001F12DF">
        <w:rPr>
          <w:sz w:val="20"/>
          <w:szCs w:val="20"/>
        </w:rPr>
        <w:t>Email</w:t>
      </w:r>
      <w:proofErr w:type="gramEnd"/>
      <w:r w:rsidR="005C5AB2" w:rsidRPr="001F12DF">
        <w:rPr>
          <w:sz w:val="20"/>
          <w:szCs w:val="20"/>
        </w:rPr>
        <w:t xml:space="preserve"> oficial descrito na página da internet </w:t>
      </w:r>
      <w:r w:rsidRPr="001F12DF">
        <w:rPr>
          <w:sz w:val="20"/>
          <w:szCs w:val="20"/>
        </w:rPr>
        <w:t>utilizada pela Entidade Adjudicante</w:t>
      </w:r>
      <w:r w:rsidR="005C5AB2" w:rsidRPr="001F12DF">
        <w:rPr>
          <w:sz w:val="20"/>
          <w:szCs w:val="20"/>
        </w:rPr>
        <w:t>.</w:t>
      </w:r>
    </w:p>
    <w:p w:rsidR="0082415D" w:rsidRPr="001F12DF" w:rsidRDefault="0082415D" w:rsidP="00236014">
      <w:pPr>
        <w:pStyle w:val="Default"/>
        <w:numPr>
          <w:ilvl w:val="0"/>
          <w:numId w:val="25"/>
        </w:numPr>
        <w:spacing w:line="360" w:lineRule="auto"/>
        <w:ind w:left="426"/>
        <w:jc w:val="both"/>
        <w:rPr>
          <w:sz w:val="20"/>
          <w:szCs w:val="20"/>
        </w:rPr>
      </w:pPr>
      <w:r w:rsidRPr="001F12DF">
        <w:rPr>
          <w:sz w:val="20"/>
          <w:szCs w:val="20"/>
        </w:rPr>
        <w:t xml:space="preserve">Qualquer alteração das informações de contrato nomeadamente as moradas para comunicações constantes do contrato a celebrar deve ser comunicada à outra parte. </w:t>
      </w:r>
    </w:p>
    <w:p w:rsidR="00E3170A" w:rsidRPr="001F12DF" w:rsidRDefault="00E3170A" w:rsidP="001F12DF">
      <w:pPr>
        <w:pStyle w:val="Default"/>
        <w:spacing w:line="360" w:lineRule="auto"/>
        <w:jc w:val="both"/>
        <w:rPr>
          <w:sz w:val="20"/>
          <w:szCs w:val="20"/>
        </w:rPr>
      </w:pPr>
    </w:p>
    <w:p w:rsidR="0082415D" w:rsidRPr="001F12DF" w:rsidRDefault="0082415D" w:rsidP="00081845">
      <w:pPr>
        <w:pStyle w:val="Default"/>
        <w:spacing w:line="360" w:lineRule="auto"/>
        <w:jc w:val="center"/>
        <w:rPr>
          <w:b/>
          <w:sz w:val="20"/>
          <w:szCs w:val="20"/>
        </w:rPr>
      </w:pPr>
      <w:r w:rsidRPr="001F12DF">
        <w:rPr>
          <w:b/>
          <w:sz w:val="20"/>
          <w:szCs w:val="20"/>
        </w:rPr>
        <w:t>Cláusula 21.ª</w:t>
      </w:r>
    </w:p>
    <w:p w:rsidR="0082415D" w:rsidRPr="001F12DF" w:rsidRDefault="0082415D" w:rsidP="00081845">
      <w:pPr>
        <w:pStyle w:val="Default"/>
        <w:spacing w:line="360" w:lineRule="auto"/>
        <w:jc w:val="center"/>
        <w:rPr>
          <w:b/>
          <w:sz w:val="20"/>
          <w:szCs w:val="20"/>
        </w:rPr>
      </w:pPr>
      <w:r w:rsidRPr="001F12DF">
        <w:rPr>
          <w:b/>
          <w:sz w:val="20"/>
          <w:szCs w:val="20"/>
        </w:rPr>
        <w:t>Contagem de Prazos</w:t>
      </w:r>
    </w:p>
    <w:p w:rsidR="0082415D" w:rsidRPr="001F12DF" w:rsidRDefault="0082415D" w:rsidP="001F12DF">
      <w:pPr>
        <w:pStyle w:val="Default"/>
        <w:spacing w:line="360" w:lineRule="auto"/>
        <w:jc w:val="both"/>
        <w:rPr>
          <w:sz w:val="20"/>
          <w:szCs w:val="20"/>
        </w:rPr>
      </w:pPr>
      <w:r w:rsidRPr="001F12DF">
        <w:rPr>
          <w:sz w:val="20"/>
          <w:szCs w:val="20"/>
        </w:rPr>
        <w:t xml:space="preserve">Os prazos previstos no contrato são contínuos, correndo em sábados, domingos e feriados, salvo indicação expressa ou legal em contrário. </w:t>
      </w:r>
    </w:p>
    <w:p w:rsidR="00E3170A" w:rsidRPr="001F12DF" w:rsidRDefault="00E3170A" w:rsidP="001F12DF">
      <w:pPr>
        <w:pStyle w:val="Default"/>
        <w:spacing w:line="360" w:lineRule="auto"/>
        <w:jc w:val="both"/>
        <w:rPr>
          <w:sz w:val="20"/>
          <w:szCs w:val="20"/>
        </w:rPr>
      </w:pPr>
    </w:p>
    <w:p w:rsidR="0082415D" w:rsidRPr="001F12DF" w:rsidRDefault="0082415D" w:rsidP="00081845">
      <w:pPr>
        <w:pStyle w:val="Default"/>
        <w:spacing w:line="360" w:lineRule="auto"/>
        <w:jc w:val="center"/>
        <w:rPr>
          <w:b/>
          <w:sz w:val="20"/>
          <w:szCs w:val="20"/>
        </w:rPr>
      </w:pPr>
      <w:r w:rsidRPr="001F12DF">
        <w:rPr>
          <w:b/>
          <w:sz w:val="20"/>
          <w:szCs w:val="20"/>
        </w:rPr>
        <w:t>Cláusula 22.ª</w:t>
      </w:r>
    </w:p>
    <w:p w:rsidR="0082415D" w:rsidRPr="001F12DF" w:rsidRDefault="0082415D" w:rsidP="00081845">
      <w:pPr>
        <w:pStyle w:val="Default"/>
        <w:spacing w:line="360" w:lineRule="auto"/>
        <w:jc w:val="center"/>
        <w:rPr>
          <w:b/>
          <w:sz w:val="20"/>
          <w:szCs w:val="20"/>
        </w:rPr>
      </w:pPr>
      <w:r w:rsidRPr="001F12DF">
        <w:rPr>
          <w:b/>
          <w:sz w:val="20"/>
          <w:szCs w:val="20"/>
        </w:rPr>
        <w:t>Legislação Aplicável</w:t>
      </w:r>
    </w:p>
    <w:p w:rsidR="0082415D" w:rsidRDefault="0082415D" w:rsidP="001F12DF">
      <w:pPr>
        <w:pStyle w:val="Default"/>
        <w:spacing w:line="360" w:lineRule="auto"/>
        <w:jc w:val="both"/>
        <w:rPr>
          <w:sz w:val="20"/>
          <w:szCs w:val="20"/>
        </w:rPr>
      </w:pPr>
      <w:r w:rsidRPr="001F12DF">
        <w:rPr>
          <w:sz w:val="20"/>
          <w:szCs w:val="20"/>
        </w:rPr>
        <w:t xml:space="preserve">O presente contrato é regulado </w:t>
      </w:r>
      <w:r w:rsidR="00E3170A" w:rsidRPr="001F12DF">
        <w:rPr>
          <w:sz w:val="20"/>
          <w:szCs w:val="20"/>
        </w:rPr>
        <w:t xml:space="preserve">de forma subsidiária </w:t>
      </w:r>
      <w:r w:rsidRPr="001F12DF">
        <w:rPr>
          <w:sz w:val="20"/>
          <w:szCs w:val="20"/>
        </w:rPr>
        <w:t xml:space="preserve">pelas disposições legislativas e regulamentares aplicáveis, de acordo com a natureza do serviço a contratar, vigentes na legislação portuguesa e pelo Código dos Contratos Públicos, na parte aplicável. </w:t>
      </w:r>
    </w:p>
    <w:p w:rsidR="00236014" w:rsidRPr="001F12DF" w:rsidRDefault="00236014" w:rsidP="001F12DF">
      <w:pPr>
        <w:pStyle w:val="Default"/>
        <w:spacing w:line="360" w:lineRule="auto"/>
        <w:jc w:val="both"/>
        <w:rPr>
          <w:sz w:val="20"/>
          <w:szCs w:val="20"/>
        </w:rPr>
      </w:pPr>
    </w:p>
    <w:p w:rsidR="0082415D" w:rsidRPr="001F12DF" w:rsidRDefault="0082415D" w:rsidP="001F12DF">
      <w:pPr>
        <w:pStyle w:val="Default"/>
        <w:spacing w:line="360" w:lineRule="auto"/>
        <w:jc w:val="both"/>
        <w:rPr>
          <w:sz w:val="20"/>
          <w:szCs w:val="20"/>
        </w:rPr>
      </w:pPr>
      <w:r w:rsidRPr="001F12DF">
        <w:rPr>
          <w:sz w:val="20"/>
          <w:szCs w:val="20"/>
        </w:rPr>
        <w:t>Em tudo o que não se encontrar expressamente descrito no presente caderno de encargos, aplica -se o disposto nos regulamentos em vigor dos Projecto – Formação Acção</w:t>
      </w:r>
      <w:r w:rsidR="00E3170A" w:rsidRPr="001F12DF">
        <w:rPr>
          <w:sz w:val="20"/>
          <w:szCs w:val="20"/>
        </w:rPr>
        <w:t xml:space="preserve"> 2º Ciclo</w:t>
      </w:r>
      <w:r w:rsidRPr="001F12DF">
        <w:rPr>
          <w:sz w:val="20"/>
          <w:szCs w:val="20"/>
        </w:rPr>
        <w:t xml:space="preserve"> </w:t>
      </w:r>
      <w:r w:rsidR="004A5F20">
        <w:rPr>
          <w:sz w:val="20"/>
          <w:szCs w:val="20"/>
        </w:rPr>
        <w:t>indicados no lote 1 e 2</w:t>
      </w:r>
      <w:r w:rsidR="00E3170A" w:rsidRPr="001F12DF">
        <w:rPr>
          <w:sz w:val="20"/>
          <w:szCs w:val="20"/>
        </w:rPr>
        <w:t xml:space="preserve">, </w:t>
      </w:r>
      <w:r w:rsidRPr="001F12DF">
        <w:rPr>
          <w:sz w:val="20"/>
          <w:szCs w:val="20"/>
        </w:rPr>
        <w:t xml:space="preserve">bem como nas demais regras nacionais e comunitárias aplicáveis à presente tipologia de intervenção e aos financiamentos do FSE (Fundo Social Europeu). </w:t>
      </w:r>
    </w:p>
    <w:p w:rsidR="00E3170A" w:rsidRPr="001F12DF" w:rsidRDefault="00E3170A" w:rsidP="001F12DF">
      <w:pPr>
        <w:pStyle w:val="Default"/>
        <w:spacing w:line="360" w:lineRule="auto"/>
        <w:jc w:val="both"/>
        <w:rPr>
          <w:b/>
          <w:bCs/>
          <w:sz w:val="20"/>
          <w:szCs w:val="20"/>
        </w:rPr>
      </w:pPr>
    </w:p>
    <w:p w:rsidR="0082415D" w:rsidRPr="001F12DF" w:rsidRDefault="0082415D" w:rsidP="00236014">
      <w:pPr>
        <w:pStyle w:val="Default"/>
        <w:spacing w:line="360" w:lineRule="auto"/>
        <w:jc w:val="center"/>
        <w:rPr>
          <w:sz w:val="20"/>
          <w:szCs w:val="20"/>
        </w:rPr>
      </w:pPr>
      <w:r w:rsidRPr="001F12DF">
        <w:rPr>
          <w:b/>
          <w:bCs/>
          <w:sz w:val="20"/>
          <w:szCs w:val="20"/>
        </w:rPr>
        <w:lastRenderedPageBreak/>
        <w:t>Capítulo VI</w:t>
      </w:r>
    </w:p>
    <w:p w:rsidR="0082415D" w:rsidRDefault="0082415D" w:rsidP="00236014">
      <w:pPr>
        <w:pStyle w:val="Default"/>
        <w:spacing w:line="360" w:lineRule="auto"/>
        <w:jc w:val="center"/>
        <w:rPr>
          <w:b/>
          <w:bCs/>
          <w:sz w:val="20"/>
          <w:szCs w:val="20"/>
        </w:rPr>
      </w:pPr>
      <w:r w:rsidRPr="001F12DF">
        <w:rPr>
          <w:b/>
          <w:bCs/>
          <w:sz w:val="20"/>
          <w:szCs w:val="20"/>
        </w:rPr>
        <w:t>Resolução de Litígios</w:t>
      </w:r>
    </w:p>
    <w:p w:rsidR="00081845" w:rsidRPr="001F12DF" w:rsidRDefault="00081845" w:rsidP="00236014">
      <w:pPr>
        <w:pStyle w:val="Default"/>
        <w:spacing w:line="360" w:lineRule="auto"/>
        <w:jc w:val="center"/>
        <w:rPr>
          <w:sz w:val="20"/>
          <w:szCs w:val="20"/>
        </w:rPr>
      </w:pPr>
    </w:p>
    <w:p w:rsidR="0082415D" w:rsidRPr="001F12DF" w:rsidRDefault="0082415D" w:rsidP="00081845">
      <w:pPr>
        <w:pStyle w:val="Default"/>
        <w:spacing w:line="360" w:lineRule="auto"/>
        <w:jc w:val="center"/>
        <w:rPr>
          <w:b/>
          <w:sz w:val="20"/>
          <w:szCs w:val="20"/>
        </w:rPr>
      </w:pPr>
      <w:r w:rsidRPr="001F12DF">
        <w:rPr>
          <w:b/>
          <w:sz w:val="20"/>
          <w:szCs w:val="20"/>
        </w:rPr>
        <w:t>Cláusula 23.ª</w:t>
      </w:r>
    </w:p>
    <w:p w:rsidR="0082415D" w:rsidRPr="001F12DF" w:rsidRDefault="0082415D" w:rsidP="00081845">
      <w:pPr>
        <w:pStyle w:val="Default"/>
        <w:spacing w:line="360" w:lineRule="auto"/>
        <w:jc w:val="center"/>
        <w:rPr>
          <w:b/>
          <w:sz w:val="20"/>
          <w:szCs w:val="20"/>
        </w:rPr>
      </w:pPr>
      <w:r w:rsidRPr="001F12DF">
        <w:rPr>
          <w:b/>
          <w:sz w:val="20"/>
          <w:szCs w:val="20"/>
        </w:rPr>
        <w:t>Foro Competente</w:t>
      </w:r>
    </w:p>
    <w:p w:rsidR="0082415D" w:rsidRPr="001F12DF" w:rsidRDefault="0082415D" w:rsidP="001F12DF">
      <w:pPr>
        <w:pStyle w:val="Default"/>
        <w:spacing w:line="360" w:lineRule="auto"/>
        <w:jc w:val="both"/>
        <w:rPr>
          <w:sz w:val="20"/>
          <w:szCs w:val="20"/>
        </w:rPr>
      </w:pPr>
      <w:r w:rsidRPr="001F12DF">
        <w:rPr>
          <w:sz w:val="20"/>
          <w:szCs w:val="20"/>
        </w:rPr>
        <w:t xml:space="preserve">Para resolução de todos os litígios decorrentes do contrato fica estipulada a Competência o </w:t>
      </w:r>
      <w:r w:rsidRPr="00953916">
        <w:rPr>
          <w:sz w:val="20"/>
          <w:szCs w:val="20"/>
        </w:rPr>
        <w:t>foro da Comarca d</w:t>
      </w:r>
      <w:r w:rsidR="00526431">
        <w:rPr>
          <w:sz w:val="20"/>
          <w:szCs w:val="20"/>
        </w:rPr>
        <w:t xml:space="preserve">e </w:t>
      </w:r>
      <w:r w:rsidR="00C400B3">
        <w:rPr>
          <w:sz w:val="20"/>
          <w:szCs w:val="20"/>
        </w:rPr>
        <w:t>Beja</w:t>
      </w:r>
      <w:r w:rsidRPr="001F12DF">
        <w:rPr>
          <w:sz w:val="20"/>
          <w:szCs w:val="20"/>
        </w:rPr>
        <w:t xml:space="preserve">, com expressa renúncia a qualquer outro. </w:t>
      </w:r>
    </w:p>
    <w:p w:rsidR="00E3170A" w:rsidRDefault="00E3170A" w:rsidP="001F12DF">
      <w:pPr>
        <w:pStyle w:val="Default"/>
        <w:spacing w:line="360" w:lineRule="auto"/>
        <w:jc w:val="both"/>
        <w:rPr>
          <w:sz w:val="20"/>
          <w:szCs w:val="20"/>
        </w:rPr>
      </w:pPr>
    </w:p>
    <w:p w:rsidR="00236014" w:rsidRDefault="00236014" w:rsidP="001F12DF">
      <w:pPr>
        <w:pStyle w:val="Default"/>
        <w:spacing w:line="360" w:lineRule="auto"/>
        <w:jc w:val="both"/>
        <w:rPr>
          <w:sz w:val="20"/>
          <w:szCs w:val="20"/>
        </w:rPr>
      </w:pPr>
    </w:p>
    <w:p w:rsidR="00236014" w:rsidRPr="001F12DF" w:rsidRDefault="00236014" w:rsidP="001F12DF">
      <w:pPr>
        <w:pStyle w:val="Default"/>
        <w:spacing w:line="360" w:lineRule="auto"/>
        <w:jc w:val="both"/>
        <w:rPr>
          <w:sz w:val="20"/>
          <w:szCs w:val="20"/>
        </w:rPr>
      </w:pPr>
    </w:p>
    <w:p w:rsidR="0082415D" w:rsidRPr="001F12DF" w:rsidRDefault="0082415D" w:rsidP="001F12DF">
      <w:pPr>
        <w:pStyle w:val="Default"/>
        <w:spacing w:line="360" w:lineRule="auto"/>
        <w:jc w:val="both"/>
        <w:rPr>
          <w:sz w:val="20"/>
          <w:szCs w:val="20"/>
        </w:rPr>
      </w:pPr>
      <w:r w:rsidRPr="001F12DF">
        <w:rPr>
          <w:sz w:val="20"/>
          <w:szCs w:val="20"/>
        </w:rPr>
        <w:t xml:space="preserve">Em anexo: Anexo I (modelo da declaração nos termos do art.º 57.º do CCP) o qual não dispensa a consulta da legislação em vigor </w:t>
      </w:r>
    </w:p>
    <w:p w:rsidR="0082415D" w:rsidRPr="001F12DF" w:rsidRDefault="00081845" w:rsidP="001F12DF">
      <w:pPr>
        <w:pStyle w:val="Default"/>
        <w:pageBreakBefore/>
        <w:spacing w:line="360" w:lineRule="auto"/>
        <w:jc w:val="both"/>
        <w:rPr>
          <w:sz w:val="20"/>
          <w:szCs w:val="20"/>
        </w:rPr>
      </w:pPr>
      <w:r>
        <w:rPr>
          <w:b/>
          <w:bCs/>
          <w:sz w:val="20"/>
          <w:szCs w:val="20"/>
        </w:rPr>
        <w:lastRenderedPageBreak/>
        <w:t>ANEXO I</w:t>
      </w:r>
      <w:bookmarkStart w:id="0" w:name="_GoBack"/>
      <w:bookmarkEnd w:id="0"/>
    </w:p>
    <w:p w:rsidR="0082415D" w:rsidRPr="001F12DF" w:rsidRDefault="0082415D" w:rsidP="001F12DF">
      <w:pPr>
        <w:pStyle w:val="Default"/>
        <w:spacing w:line="360" w:lineRule="auto"/>
        <w:jc w:val="both"/>
        <w:rPr>
          <w:sz w:val="20"/>
          <w:szCs w:val="20"/>
        </w:rPr>
      </w:pPr>
      <w:r w:rsidRPr="001F12DF">
        <w:rPr>
          <w:b/>
          <w:bCs/>
          <w:sz w:val="20"/>
          <w:szCs w:val="20"/>
        </w:rPr>
        <w:t xml:space="preserve">Modelo de Declaração </w:t>
      </w:r>
    </w:p>
    <w:p w:rsidR="0082415D" w:rsidRPr="001F12DF" w:rsidRDefault="0082415D" w:rsidP="001F12DF">
      <w:pPr>
        <w:pStyle w:val="Default"/>
        <w:spacing w:line="360" w:lineRule="auto"/>
        <w:jc w:val="both"/>
        <w:rPr>
          <w:sz w:val="20"/>
          <w:szCs w:val="20"/>
        </w:rPr>
      </w:pPr>
      <w:r w:rsidRPr="001F12DF">
        <w:rPr>
          <w:sz w:val="20"/>
          <w:szCs w:val="20"/>
        </w:rPr>
        <w:t xml:space="preserve">[a que se refere a alínea </w:t>
      </w:r>
      <w:r w:rsidRPr="001F12DF">
        <w:rPr>
          <w:i/>
          <w:iCs/>
          <w:sz w:val="20"/>
          <w:szCs w:val="20"/>
        </w:rPr>
        <w:t>a</w:t>
      </w:r>
      <w:r w:rsidRPr="001F12DF">
        <w:rPr>
          <w:sz w:val="20"/>
          <w:szCs w:val="20"/>
        </w:rPr>
        <w:t xml:space="preserve">) do n.º 1 do artigo 57.º] </w:t>
      </w:r>
    </w:p>
    <w:p w:rsidR="0082415D" w:rsidRPr="001F12DF" w:rsidRDefault="0082415D" w:rsidP="001F12DF">
      <w:pPr>
        <w:pStyle w:val="Default"/>
        <w:spacing w:line="360" w:lineRule="auto"/>
        <w:jc w:val="both"/>
        <w:rPr>
          <w:sz w:val="20"/>
          <w:szCs w:val="20"/>
        </w:rPr>
      </w:pPr>
      <w:r w:rsidRPr="001F12DF">
        <w:rPr>
          <w:sz w:val="20"/>
          <w:szCs w:val="20"/>
        </w:rPr>
        <w:t xml:space="preserve">1 — … [nome, número de documento de identificação e morada], na qualidade de representante legal de (1)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w:t>
      </w:r>
      <w:proofErr w:type="gramStart"/>
      <w:r w:rsidRPr="001F12DF">
        <w:rPr>
          <w:sz w:val="20"/>
          <w:szCs w:val="20"/>
        </w:rPr>
        <w:t>de</w:t>
      </w:r>
      <w:proofErr w:type="gramEnd"/>
      <w:r w:rsidRPr="001F12DF">
        <w:rPr>
          <w:sz w:val="20"/>
          <w:szCs w:val="20"/>
        </w:rPr>
        <w:t xml:space="preserve"> … </w:t>
      </w:r>
    </w:p>
    <w:p w:rsidR="0082415D" w:rsidRPr="001F12DF" w:rsidRDefault="0082415D" w:rsidP="001F12DF">
      <w:pPr>
        <w:pStyle w:val="Default"/>
        <w:spacing w:line="360" w:lineRule="auto"/>
        <w:jc w:val="both"/>
        <w:rPr>
          <w:sz w:val="20"/>
          <w:szCs w:val="20"/>
        </w:rPr>
      </w:pPr>
      <w:r w:rsidRPr="001F12DF">
        <w:rPr>
          <w:sz w:val="20"/>
          <w:szCs w:val="20"/>
        </w:rPr>
        <w:t xml:space="preserve">[designação ou referência ao procedimento em causa], declara, sob compromisso de honra, que a sua representada (2) se obriga a executar o referido contrato em conformidade com o conteúdo do mencionado caderno de encargos, relativamente ao qual declara aceitar, sem reservas, todas as suas cláusulas. </w:t>
      </w:r>
    </w:p>
    <w:p w:rsidR="0082415D" w:rsidRPr="001F12DF" w:rsidRDefault="0082415D" w:rsidP="001F12DF">
      <w:pPr>
        <w:pStyle w:val="Default"/>
        <w:spacing w:line="360" w:lineRule="auto"/>
        <w:jc w:val="both"/>
        <w:rPr>
          <w:sz w:val="20"/>
          <w:szCs w:val="20"/>
        </w:rPr>
      </w:pPr>
      <w:r w:rsidRPr="001F12DF">
        <w:rPr>
          <w:sz w:val="20"/>
          <w:szCs w:val="20"/>
        </w:rPr>
        <w:t xml:space="preserve">2 — Declara também que executará o referido contrato nos termos previstos nos seguintes documentos, que junta em anexo (3): </w:t>
      </w:r>
    </w:p>
    <w:p w:rsidR="0082415D" w:rsidRPr="001F12DF" w:rsidRDefault="0082415D" w:rsidP="001F12DF">
      <w:pPr>
        <w:pStyle w:val="Default"/>
        <w:spacing w:line="360" w:lineRule="auto"/>
        <w:jc w:val="both"/>
        <w:rPr>
          <w:sz w:val="20"/>
          <w:szCs w:val="20"/>
        </w:rPr>
      </w:pPr>
      <w:r w:rsidRPr="001F12DF">
        <w:rPr>
          <w:i/>
          <w:iCs/>
          <w:sz w:val="20"/>
          <w:szCs w:val="20"/>
        </w:rPr>
        <w:t>a</w:t>
      </w:r>
      <w:r w:rsidRPr="001F12DF">
        <w:rPr>
          <w:sz w:val="20"/>
          <w:szCs w:val="20"/>
        </w:rPr>
        <w:t xml:space="preserve">) … </w:t>
      </w:r>
    </w:p>
    <w:p w:rsidR="0082415D" w:rsidRPr="001F12DF" w:rsidRDefault="0082415D" w:rsidP="001F12DF">
      <w:pPr>
        <w:pStyle w:val="Default"/>
        <w:spacing w:line="360" w:lineRule="auto"/>
        <w:jc w:val="both"/>
        <w:rPr>
          <w:sz w:val="20"/>
          <w:szCs w:val="20"/>
        </w:rPr>
      </w:pPr>
      <w:r w:rsidRPr="001F12DF">
        <w:rPr>
          <w:i/>
          <w:iCs/>
          <w:sz w:val="20"/>
          <w:szCs w:val="20"/>
        </w:rPr>
        <w:t>b</w:t>
      </w:r>
      <w:r w:rsidRPr="001F12DF">
        <w:rPr>
          <w:sz w:val="20"/>
          <w:szCs w:val="20"/>
        </w:rPr>
        <w:t xml:space="preserve">) … </w:t>
      </w:r>
    </w:p>
    <w:p w:rsidR="0082415D" w:rsidRPr="001F12DF" w:rsidRDefault="0082415D" w:rsidP="001F12DF">
      <w:pPr>
        <w:pStyle w:val="Default"/>
        <w:spacing w:line="360" w:lineRule="auto"/>
        <w:jc w:val="both"/>
        <w:rPr>
          <w:sz w:val="20"/>
          <w:szCs w:val="20"/>
        </w:rPr>
      </w:pPr>
      <w:r w:rsidRPr="001F12DF">
        <w:rPr>
          <w:sz w:val="20"/>
          <w:szCs w:val="20"/>
        </w:rPr>
        <w:t xml:space="preserve">3 — Declara ainda que renuncia a foro especial e se submete, em tudo o que respeitar à execução do referido contrato, ao disposto na legislação portuguesa aplicável. </w:t>
      </w:r>
    </w:p>
    <w:p w:rsidR="0082415D" w:rsidRPr="001F12DF" w:rsidRDefault="0082415D" w:rsidP="001F12DF">
      <w:pPr>
        <w:pStyle w:val="Default"/>
        <w:spacing w:line="360" w:lineRule="auto"/>
        <w:jc w:val="both"/>
        <w:rPr>
          <w:sz w:val="20"/>
          <w:szCs w:val="20"/>
        </w:rPr>
      </w:pPr>
      <w:r w:rsidRPr="001F12DF">
        <w:rPr>
          <w:sz w:val="20"/>
          <w:szCs w:val="20"/>
        </w:rPr>
        <w:t xml:space="preserve">4 — Mais declara, sob compromisso de honra, </w:t>
      </w:r>
      <w:proofErr w:type="gramStart"/>
      <w:r w:rsidRPr="001F12DF">
        <w:rPr>
          <w:sz w:val="20"/>
          <w:szCs w:val="20"/>
        </w:rPr>
        <w:t>que</w:t>
      </w:r>
      <w:proofErr w:type="gramEnd"/>
      <w:r w:rsidRPr="001F12DF">
        <w:rPr>
          <w:sz w:val="20"/>
          <w:szCs w:val="20"/>
        </w:rPr>
        <w:t xml:space="preserve">: </w:t>
      </w:r>
    </w:p>
    <w:p w:rsidR="0082415D" w:rsidRPr="001F12DF" w:rsidRDefault="0082415D" w:rsidP="001F12DF">
      <w:pPr>
        <w:pStyle w:val="Default"/>
        <w:spacing w:line="360" w:lineRule="auto"/>
        <w:jc w:val="both"/>
        <w:rPr>
          <w:sz w:val="20"/>
          <w:szCs w:val="20"/>
        </w:rPr>
      </w:pPr>
      <w:r w:rsidRPr="001F12DF">
        <w:rPr>
          <w:i/>
          <w:iCs/>
          <w:sz w:val="20"/>
          <w:szCs w:val="20"/>
        </w:rPr>
        <w:t>a</w:t>
      </w:r>
      <w:r w:rsidRPr="001F12DF">
        <w:rPr>
          <w:sz w:val="20"/>
          <w:szCs w:val="20"/>
        </w:rPr>
        <w:t xml:space="preserve">) Não se encontra em estado de insolvência, em fase de liquidação, dissolução ou cessação de actividade, sujeita a qualquer meio preventivo de liquidação de patrimónios ou em qualquer situação análoga, nem tem o respectivo processo pendente; </w:t>
      </w:r>
    </w:p>
    <w:p w:rsidR="0082415D" w:rsidRPr="001F12DF" w:rsidRDefault="0082415D" w:rsidP="001F12DF">
      <w:pPr>
        <w:pStyle w:val="Default"/>
        <w:spacing w:line="360" w:lineRule="auto"/>
        <w:jc w:val="both"/>
        <w:rPr>
          <w:sz w:val="20"/>
          <w:szCs w:val="20"/>
        </w:rPr>
      </w:pPr>
      <w:r w:rsidRPr="001F12DF">
        <w:rPr>
          <w:i/>
          <w:iCs/>
          <w:sz w:val="20"/>
          <w:szCs w:val="20"/>
        </w:rPr>
        <w:t>b</w:t>
      </w:r>
      <w:r w:rsidRPr="001F12DF">
        <w:rPr>
          <w:sz w:val="20"/>
          <w:szCs w:val="20"/>
        </w:rPr>
        <w:t xml:space="preserve">) Não foi condenado(a) por sentença transitada em julgado por qualquer crime que afecte a sua honorabilidade profissional (4) [ou os titulares dos seus órgãos sociais de administração, direcção ou gerência não foram condenados por qualquer crime que afecte a sua honorabilidade profissional (5)] (6); </w:t>
      </w:r>
    </w:p>
    <w:p w:rsidR="0082415D" w:rsidRPr="001F12DF" w:rsidRDefault="0082415D" w:rsidP="001F12DF">
      <w:pPr>
        <w:pStyle w:val="Default"/>
        <w:spacing w:line="360" w:lineRule="auto"/>
        <w:jc w:val="both"/>
        <w:rPr>
          <w:sz w:val="20"/>
          <w:szCs w:val="20"/>
        </w:rPr>
      </w:pPr>
      <w:r w:rsidRPr="001F12DF">
        <w:rPr>
          <w:i/>
          <w:iCs/>
          <w:sz w:val="20"/>
          <w:szCs w:val="20"/>
        </w:rPr>
        <w:t>c</w:t>
      </w:r>
      <w:r w:rsidRPr="001F12DF">
        <w:rPr>
          <w:sz w:val="20"/>
          <w:szCs w:val="20"/>
        </w:rPr>
        <w:t xml:space="preserve">) Não foi objecto de aplicação de sanção administrativa por falta grave em matéria profissional (7) [ou os titulares dos seus órgãos sociais de administração, direção ou gerência não foram objecto de aplicação de sanção administrativa por falta grave em matéria profissional (8)] (9); </w:t>
      </w:r>
    </w:p>
    <w:p w:rsidR="0082415D" w:rsidRPr="001F12DF" w:rsidRDefault="0082415D" w:rsidP="001F12DF">
      <w:pPr>
        <w:pStyle w:val="Default"/>
        <w:spacing w:line="360" w:lineRule="auto"/>
        <w:jc w:val="both"/>
        <w:rPr>
          <w:sz w:val="20"/>
          <w:szCs w:val="20"/>
        </w:rPr>
      </w:pPr>
      <w:r w:rsidRPr="001F12DF">
        <w:rPr>
          <w:i/>
          <w:iCs/>
          <w:sz w:val="20"/>
          <w:szCs w:val="20"/>
        </w:rPr>
        <w:t>d</w:t>
      </w:r>
      <w:r w:rsidRPr="001F12DF">
        <w:rPr>
          <w:sz w:val="20"/>
          <w:szCs w:val="20"/>
        </w:rPr>
        <w:t xml:space="preserve">) Tem a sua situação regularizada relativamente a contribuições para a segurança social em Portugal [ou no Estado de que é nacional ou no qual se situe o seu estabelecimento principal] (10); </w:t>
      </w:r>
    </w:p>
    <w:p w:rsidR="0082415D" w:rsidRPr="001F12DF" w:rsidRDefault="0082415D" w:rsidP="001F12DF">
      <w:pPr>
        <w:pStyle w:val="Default"/>
        <w:spacing w:line="360" w:lineRule="auto"/>
        <w:jc w:val="both"/>
        <w:rPr>
          <w:sz w:val="20"/>
          <w:szCs w:val="20"/>
        </w:rPr>
      </w:pPr>
      <w:r w:rsidRPr="001F12DF">
        <w:rPr>
          <w:i/>
          <w:iCs/>
          <w:sz w:val="20"/>
          <w:szCs w:val="20"/>
        </w:rPr>
        <w:t>e</w:t>
      </w:r>
      <w:r w:rsidRPr="001F12DF">
        <w:rPr>
          <w:sz w:val="20"/>
          <w:szCs w:val="20"/>
        </w:rPr>
        <w:t xml:space="preserve">) Tem a sua situação regularizada relativamente a impostos devidos em Portugal [ou no Estado de que é nacional ou no qual se situe o seu estabelecimento principal] (11); </w:t>
      </w:r>
    </w:p>
    <w:p w:rsidR="0082415D" w:rsidRPr="001F12DF" w:rsidRDefault="0082415D" w:rsidP="001F12DF">
      <w:pPr>
        <w:pStyle w:val="Default"/>
        <w:spacing w:line="360" w:lineRule="auto"/>
        <w:jc w:val="both"/>
        <w:rPr>
          <w:sz w:val="20"/>
          <w:szCs w:val="20"/>
        </w:rPr>
      </w:pPr>
      <w:r w:rsidRPr="001F12DF">
        <w:rPr>
          <w:i/>
          <w:iCs/>
          <w:sz w:val="20"/>
          <w:szCs w:val="20"/>
        </w:rPr>
        <w:t>f</w:t>
      </w:r>
      <w:r w:rsidRPr="001F12DF">
        <w:rPr>
          <w:sz w:val="20"/>
          <w:szCs w:val="20"/>
        </w:rPr>
        <w:t xml:space="preserve">) Não foi objeto de aplicação da sanção acessória prevista na alínea </w:t>
      </w:r>
      <w:r w:rsidRPr="001F12DF">
        <w:rPr>
          <w:i/>
          <w:iCs/>
          <w:sz w:val="20"/>
          <w:szCs w:val="20"/>
        </w:rPr>
        <w:t>e</w:t>
      </w:r>
      <w:r w:rsidRPr="001F12DF">
        <w:rPr>
          <w:sz w:val="20"/>
          <w:szCs w:val="20"/>
        </w:rPr>
        <w:t xml:space="preserve">) do n.º 1 do artigo 21.º do Decreto -Lei n.º 433/82, de 27 de outubro, na alínea </w:t>
      </w:r>
      <w:r w:rsidRPr="001F12DF">
        <w:rPr>
          <w:i/>
          <w:iCs/>
          <w:sz w:val="20"/>
          <w:szCs w:val="20"/>
        </w:rPr>
        <w:t>b</w:t>
      </w:r>
      <w:r w:rsidRPr="001F12DF">
        <w:rPr>
          <w:sz w:val="20"/>
          <w:szCs w:val="20"/>
        </w:rPr>
        <w:t xml:space="preserve">) do n.º 1 do artigo 71.º da Lei n.º 19/2012, de 8 de maio, e no n.º 1 do artigo 460.º do presente Código, durante o período de inabilidade fixado na decisão condenatória; (12); </w:t>
      </w:r>
    </w:p>
    <w:p w:rsidR="0082415D" w:rsidRPr="001F12DF" w:rsidRDefault="0082415D" w:rsidP="001F12DF">
      <w:pPr>
        <w:pStyle w:val="Default"/>
        <w:spacing w:line="360" w:lineRule="auto"/>
        <w:jc w:val="both"/>
        <w:rPr>
          <w:sz w:val="20"/>
          <w:szCs w:val="20"/>
        </w:rPr>
      </w:pPr>
      <w:r w:rsidRPr="001F12DF">
        <w:rPr>
          <w:i/>
          <w:iCs/>
          <w:sz w:val="20"/>
          <w:szCs w:val="20"/>
        </w:rPr>
        <w:t>g</w:t>
      </w:r>
      <w:r w:rsidRPr="001F12DF">
        <w:rPr>
          <w:sz w:val="20"/>
          <w:szCs w:val="20"/>
        </w:rPr>
        <w:t xml:space="preserve">) Não foi objecto de aplicação da sanção acessória prevista na alínea b) do nº 2 do artigo 562.º do Código do Trabalho (13); </w:t>
      </w:r>
    </w:p>
    <w:p w:rsidR="0082415D" w:rsidRPr="001F12DF" w:rsidRDefault="0082415D" w:rsidP="001F12DF">
      <w:pPr>
        <w:pStyle w:val="Default"/>
        <w:spacing w:line="360" w:lineRule="auto"/>
        <w:jc w:val="both"/>
        <w:rPr>
          <w:sz w:val="20"/>
          <w:szCs w:val="20"/>
        </w:rPr>
      </w:pPr>
      <w:r w:rsidRPr="001F12DF">
        <w:rPr>
          <w:i/>
          <w:iCs/>
          <w:sz w:val="20"/>
          <w:szCs w:val="20"/>
        </w:rPr>
        <w:lastRenderedPageBreak/>
        <w:t>h</w:t>
      </w:r>
      <w:r w:rsidRPr="001F12DF">
        <w:rPr>
          <w:sz w:val="20"/>
          <w:szCs w:val="20"/>
        </w:rPr>
        <w:t xml:space="preserve">) Não foi objecto de aplicação, há menos de dois anos, de sanção administrativa ou judicial pela utilização ao seu serviço de mão -de -obra legalmente sujeita ao pagamento de impostos e contribuições para a segurança social, não declarada nos termos das normas que imponham essa obrigação, em Portugal [ou no Estado de que é nacional ou no qual se situe o seu estabelecimento principal] (14); </w:t>
      </w:r>
    </w:p>
    <w:p w:rsidR="0082415D" w:rsidRPr="001F12DF" w:rsidRDefault="0082415D" w:rsidP="001F12DF">
      <w:pPr>
        <w:pStyle w:val="Default"/>
        <w:spacing w:line="360" w:lineRule="auto"/>
        <w:jc w:val="both"/>
        <w:rPr>
          <w:sz w:val="20"/>
          <w:szCs w:val="20"/>
        </w:rPr>
      </w:pPr>
      <w:r w:rsidRPr="001F12DF">
        <w:rPr>
          <w:i/>
          <w:iCs/>
          <w:sz w:val="20"/>
          <w:szCs w:val="20"/>
        </w:rPr>
        <w:t>i</w:t>
      </w:r>
      <w:r w:rsidRPr="001F12DF">
        <w:rPr>
          <w:sz w:val="20"/>
          <w:szCs w:val="20"/>
        </w:rPr>
        <w:t xml:space="preserve">) Não foi condenado(a) por sentença transitada em julgado por algum dos seguintes crimes (15) [ou os titulares dos seus órgãos sociais de administração, direcção ou gerência não foram condenados por alguns dos seguintes crimes (16)] (17): </w:t>
      </w:r>
    </w:p>
    <w:p w:rsidR="0082415D" w:rsidRPr="001F12DF" w:rsidRDefault="0082415D" w:rsidP="001F12DF">
      <w:pPr>
        <w:pStyle w:val="Default"/>
        <w:spacing w:line="360" w:lineRule="auto"/>
        <w:jc w:val="both"/>
        <w:rPr>
          <w:sz w:val="20"/>
          <w:szCs w:val="20"/>
        </w:rPr>
      </w:pPr>
      <w:r w:rsidRPr="001F12DF">
        <w:rPr>
          <w:i/>
          <w:iCs/>
          <w:sz w:val="20"/>
          <w:szCs w:val="20"/>
        </w:rPr>
        <w:t>i</w:t>
      </w:r>
      <w:r w:rsidRPr="001F12DF">
        <w:rPr>
          <w:sz w:val="20"/>
          <w:szCs w:val="20"/>
        </w:rPr>
        <w:t xml:space="preserve">) Participação em actividades de uma organização criminosa, tal como definida no n.º 1 do artigo 2.º da Acção Comum 98/773/JAI do Conselho; </w:t>
      </w:r>
    </w:p>
    <w:p w:rsidR="0082415D" w:rsidRPr="001F12DF" w:rsidRDefault="0082415D" w:rsidP="001F12DF">
      <w:pPr>
        <w:pStyle w:val="Default"/>
        <w:spacing w:line="360" w:lineRule="auto"/>
        <w:jc w:val="both"/>
        <w:rPr>
          <w:sz w:val="20"/>
          <w:szCs w:val="20"/>
        </w:rPr>
      </w:pPr>
      <w:proofErr w:type="spellStart"/>
      <w:proofErr w:type="gramStart"/>
      <w:r w:rsidRPr="001F12DF">
        <w:rPr>
          <w:i/>
          <w:iCs/>
          <w:sz w:val="20"/>
          <w:szCs w:val="20"/>
        </w:rPr>
        <w:t>ii</w:t>
      </w:r>
      <w:proofErr w:type="spellEnd"/>
      <w:proofErr w:type="gramEnd"/>
      <w:r w:rsidRPr="001F12DF">
        <w:rPr>
          <w:sz w:val="20"/>
          <w:szCs w:val="20"/>
        </w:rPr>
        <w:t xml:space="preserve">) Corrupção, na acepção do artigo 3.º do Acto do Conselho de 26 de Maio de 1997 e do n.º 1 do artigo 3.º da Acção Comum 98/742/JAI do Conselho; </w:t>
      </w:r>
    </w:p>
    <w:p w:rsidR="0082415D" w:rsidRPr="001F12DF" w:rsidRDefault="0082415D" w:rsidP="001F12DF">
      <w:pPr>
        <w:pStyle w:val="Default"/>
        <w:spacing w:line="360" w:lineRule="auto"/>
        <w:jc w:val="both"/>
        <w:rPr>
          <w:sz w:val="20"/>
          <w:szCs w:val="20"/>
        </w:rPr>
      </w:pPr>
      <w:proofErr w:type="spellStart"/>
      <w:proofErr w:type="gramStart"/>
      <w:r w:rsidRPr="001F12DF">
        <w:rPr>
          <w:i/>
          <w:iCs/>
          <w:sz w:val="20"/>
          <w:szCs w:val="20"/>
        </w:rPr>
        <w:t>iii</w:t>
      </w:r>
      <w:proofErr w:type="spellEnd"/>
      <w:proofErr w:type="gramEnd"/>
      <w:r w:rsidRPr="001F12DF">
        <w:rPr>
          <w:sz w:val="20"/>
          <w:szCs w:val="20"/>
        </w:rPr>
        <w:t xml:space="preserve">) Fraude, na acepção do artigo 1.º da Convenção relativa à Protecção dos Interesses Financeiros das Comunidades Europeias; </w:t>
      </w:r>
    </w:p>
    <w:p w:rsidR="0082415D" w:rsidRPr="001F12DF" w:rsidRDefault="0082415D" w:rsidP="001F12DF">
      <w:pPr>
        <w:pStyle w:val="Default"/>
        <w:spacing w:line="360" w:lineRule="auto"/>
        <w:jc w:val="both"/>
        <w:rPr>
          <w:sz w:val="20"/>
          <w:szCs w:val="20"/>
        </w:rPr>
      </w:pPr>
      <w:proofErr w:type="spellStart"/>
      <w:proofErr w:type="gramStart"/>
      <w:r w:rsidRPr="001F12DF">
        <w:rPr>
          <w:i/>
          <w:iCs/>
          <w:sz w:val="20"/>
          <w:szCs w:val="20"/>
        </w:rPr>
        <w:t>iv</w:t>
      </w:r>
      <w:proofErr w:type="spellEnd"/>
      <w:proofErr w:type="gramEnd"/>
      <w:r w:rsidRPr="001F12DF">
        <w:rPr>
          <w:sz w:val="20"/>
          <w:szCs w:val="20"/>
        </w:rPr>
        <w:t xml:space="preserve">) Branqueamento de capitais, na acepção do artigo 1.º da Directiva n.º 91/308/CEE, do Conselho, de 10 de Junho de 1991, relativa à prevenção da utilização do sistema financeiro para efeitos de branqueamento de capitais. </w:t>
      </w:r>
    </w:p>
    <w:p w:rsidR="0082415D" w:rsidRPr="001F12DF" w:rsidRDefault="0082415D" w:rsidP="001F12DF">
      <w:pPr>
        <w:pStyle w:val="Default"/>
        <w:spacing w:line="360" w:lineRule="auto"/>
        <w:jc w:val="both"/>
        <w:rPr>
          <w:sz w:val="20"/>
          <w:szCs w:val="20"/>
        </w:rPr>
      </w:pPr>
      <w:r w:rsidRPr="001F12DF">
        <w:rPr>
          <w:i/>
          <w:iCs/>
          <w:sz w:val="20"/>
          <w:szCs w:val="20"/>
        </w:rPr>
        <w:t>j</w:t>
      </w:r>
      <w:r w:rsidRPr="001F12DF">
        <w:rPr>
          <w:sz w:val="20"/>
          <w:szCs w:val="20"/>
        </w:rPr>
        <w:t xml:space="preserve">) Não prestou, a qualquer título, direta ou indiretamente, assessoria ou apoio técnico na preparação e elaboração das peças do procedimento que lhe confira vantagem que falseie as condições normais de concorrência. </w:t>
      </w:r>
    </w:p>
    <w:p w:rsidR="0082415D" w:rsidRPr="001F12DF" w:rsidRDefault="0082415D" w:rsidP="001F12DF">
      <w:pPr>
        <w:pStyle w:val="Default"/>
        <w:spacing w:line="360" w:lineRule="auto"/>
        <w:jc w:val="both"/>
        <w:rPr>
          <w:sz w:val="20"/>
          <w:szCs w:val="20"/>
        </w:rPr>
      </w:pPr>
      <w:r w:rsidRPr="001F12DF">
        <w:rPr>
          <w:sz w:val="20"/>
          <w:szCs w:val="20"/>
        </w:rPr>
        <w:t xml:space="preserve">5 — O declarante tem pleno conhecimento de que a prestação de falsas declarações implica, consoante o caso, a exclusão da proposta apresentada ou a caducidade da adjudicação que eventualmente sobre ela recaia e constitui contra -ordenação muito grave, nos termos do artigo 456.º do Código dos Contratos Públicos, a qual pode determinar a aplicação da sanção acessória de privação do direito de participar, </w:t>
      </w:r>
    </w:p>
    <w:p w:rsidR="0082415D" w:rsidRPr="001F12DF" w:rsidRDefault="0082415D" w:rsidP="001F12DF">
      <w:pPr>
        <w:pStyle w:val="Default"/>
        <w:pageBreakBefore/>
        <w:spacing w:line="360" w:lineRule="auto"/>
        <w:jc w:val="both"/>
        <w:rPr>
          <w:sz w:val="20"/>
          <w:szCs w:val="20"/>
        </w:rPr>
      </w:pPr>
      <w:proofErr w:type="gramStart"/>
      <w:r w:rsidRPr="001F12DF">
        <w:rPr>
          <w:sz w:val="20"/>
          <w:szCs w:val="20"/>
        </w:rPr>
        <w:lastRenderedPageBreak/>
        <w:t>como</w:t>
      </w:r>
      <w:proofErr w:type="gramEnd"/>
      <w:r w:rsidRPr="001F12DF">
        <w:rPr>
          <w:sz w:val="20"/>
          <w:szCs w:val="20"/>
        </w:rPr>
        <w:t xml:space="preserve"> candidato, como concorrente ou como membro de agrupamento candidato ou concorrente, em qualquer procedimento adoptado para a formação de contratos públicos, sem prejuízo da participação à entidade competente para efeitos de procedimento criminal. </w:t>
      </w:r>
    </w:p>
    <w:p w:rsidR="0082415D" w:rsidRPr="001F12DF" w:rsidRDefault="0082415D" w:rsidP="001F12DF">
      <w:pPr>
        <w:pStyle w:val="Default"/>
        <w:spacing w:line="360" w:lineRule="auto"/>
        <w:jc w:val="both"/>
        <w:rPr>
          <w:sz w:val="20"/>
          <w:szCs w:val="20"/>
        </w:rPr>
      </w:pPr>
      <w:r w:rsidRPr="001F12DF">
        <w:rPr>
          <w:sz w:val="20"/>
          <w:szCs w:val="20"/>
        </w:rPr>
        <w:t xml:space="preserve">6 — Quando a entidade adjudicante o solicitar, o concorrente obriga -se, nos termos do disposto no artigo 81.º do Código dos Contratos Públicos, a apresentar a declaração que constitui o anexo II ao referido Código, bem como os documentos comprovativos de que se encontra nas situações previstas nas alíneas </w:t>
      </w:r>
      <w:r w:rsidRPr="001F12DF">
        <w:rPr>
          <w:i/>
          <w:iCs/>
          <w:sz w:val="20"/>
          <w:szCs w:val="20"/>
        </w:rPr>
        <w:t>b</w:t>
      </w:r>
      <w:r w:rsidRPr="001F12DF">
        <w:rPr>
          <w:sz w:val="20"/>
          <w:szCs w:val="20"/>
        </w:rPr>
        <w:t xml:space="preserve">), </w:t>
      </w:r>
      <w:r w:rsidRPr="001F12DF">
        <w:rPr>
          <w:i/>
          <w:iCs/>
          <w:sz w:val="20"/>
          <w:szCs w:val="20"/>
        </w:rPr>
        <w:t>d</w:t>
      </w:r>
      <w:r w:rsidRPr="001F12DF">
        <w:rPr>
          <w:sz w:val="20"/>
          <w:szCs w:val="20"/>
        </w:rPr>
        <w:t xml:space="preserve">), </w:t>
      </w:r>
      <w:r w:rsidRPr="001F12DF">
        <w:rPr>
          <w:i/>
          <w:iCs/>
          <w:sz w:val="20"/>
          <w:szCs w:val="20"/>
        </w:rPr>
        <w:t>e</w:t>
      </w:r>
      <w:r w:rsidRPr="001F12DF">
        <w:rPr>
          <w:sz w:val="20"/>
          <w:szCs w:val="20"/>
        </w:rPr>
        <w:t xml:space="preserve">) e </w:t>
      </w:r>
      <w:r w:rsidRPr="001F12DF">
        <w:rPr>
          <w:i/>
          <w:iCs/>
          <w:sz w:val="20"/>
          <w:szCs w:val="20"/>
        </w:rPr>
        <w:t>i</w:t>
      </w:r>
      <w:r w:rsidRPr="001F12DF">
        <w:rPr>
          <w:sz w:val="20"/>
          <w:szCs w:val="20"/>
        </w:rPr>
        <w:t xml:space="preserve">) do n.º 4 desta declaração. </w:t>
      </w:r>
    </w:p>
    <w:p w:rsidR="0082415D" w:rsidRPr="001F12DF" w:rsidRDefault="0082415D" w:rsidP="001F12DF">
      <w:pPr>
        <w:pStyle w:val="Default"/>
        <w:spacing w:line="360" w:lineRule="auto"/>
        <w:jc w:val="both"/>
        <w:rPr>
          <w:sz w:val="20"/>
          <w:szCs w:val="20"/>
        </w:rPr>
      </w:pPr>
      <w:r w:rsidRPr="001F12DF">
        <w:rPr>
          <w:sz w:val="20"/>
          <w:szCs w:val="20"/>
        </w:rPr>
        <w:t xml:space="preserve">7 — O declarante tem ainda pleno conhecimento de que a não apresentação dos documentos solicitados nos termos do número anterior, por motivo que lhe seja imputável, determina a caducidade da adjudicação que eventualmente recaia sobre a proposta apresentada e constitui contra -ordenação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adoptado para a formação de contratos públicos, sem prejuízo da participação à entidade competente para efeitos de procedimento criminal. </w:t>
      </w:r>
    </w:p>
    <w:p w:rsidR="0082415D" w:rsidRPr="001F12DF" w:rsidRDefault="0082415D" w:rsidP="001F12DF">
      <w:pPr>
        <w:pStyle w:val="Default"/>
        <w:spacing w:line="360" w:lineRule="auto"/>
        <w:jc w:val="both"/>
        <w:rPr>
          <w:sz w:val="20"/>
          <w:szCs w:val="20"/>
        </w:rPr>
      </w:pPr>
      <w:r w:rsidRPr="001F12DF">
        <w:rPr>
          <w:sz w:val="20"/>
          <w:szCs w:val="20"/>
        </w:rPr>
        <w:t xml:space="preserve">[Local], [data] [Assinatura (18)] </w:t>
      </w:r>
    </w:p>
    <w:p w:rsidR="0082415D" w:rsidRPr="001F12DF" w:rsidRDefault="0082415D" w:rsidP="001F12DF">
      <w:pPr>
        <w:pStyle w:val="Default"/>
        <w:spacing w:line="360" w:lineRule="auto"/>
        <w:jc w:val="both"/>
        <w:rPr>
          <w:sz w:val="20"/>
          <w:szCs w:val="20"/>
        </w:rPr>
      </w:pPr>
      <w:r w:rsidRPr="001F12DF">
        <w:rPr>
          <w:sz w:val="20"/>
          <w:szCs w:val="20"/>
        </w:rPr>
        <w:t xml:space="preserve">(1) Aplicável apenas a concorrentes que sejam pessoas colectivas. </w:t>
      </w:r>
    </w:p>
    <w:p w:rsidR="0082415D" w:rsidRPr="001F12DF" w:rsidRDefault="0082415D" w:rsidP="001F12DF">
      <w:pPr>
        <w:pStyle w:val="Default"/>
        <w:spacing w:line="360" w:lineRule="auto"/>
        <w:jc w:val="both"/>
        <w:rPr>
          <w:sz w:val="20"/>
          <w:szCs w:val="20"/>
        </w:rPr>
      </w:pPr>
      <w:r w:rsidRPr="001F12DF">
        <w:rPr>
          <w:sz w:val="20"/>
          <w:szCs w:val="20"/>
        </w:rPr>
        <w:t xml:space="preserve">(2) No caso de o concorrente ser uma pessoa singular, suprimir a expressão «a sua representada». </w:t>
      </w:r>
    </w:p>
    <w:p w:rsidR="0082415D" w:rsidRPr="001F12DF" w:rsidRDefault="0082415D" w:rsidP="001F12DF">
      <w:pPr>
        <w:pStyle w:val="Default"/>
        <w:spacing w:line="360" w:lineRule="auto"/>
        <w:jc w:val="both"/>
        <w:rPr>
          <w:sz w:val="20"/>
          <w:szCs w:val="20"/>
        </w:rPr>
      </w:pPr>
      <w:r w:rsidRPr="001F12DF">
        <w:rPr>
          <w:sz w:val="20"/>
          <w:szCs w:val="20"/>
        </w:rPr>
        <w:t xml:space="preserve">(3) Enumerar todos os documentos que constituem a proposta, para além desta declaração, nos termos do disposto nas alíneas </w:t>
      </w:r>
      <w:r w:rsidRPr="001F12DF">
        <w:rPr>
          <w:i/>
          <w:iCs/>
          <w:sz w:val="20"/>
          <w:szCs w:val="20"/>
        </w:rPr>
        <w:t>b</w:t>
      </w:r>
      <w:r w:rsidRPr="001F12DF">
        <w:rPr>
          <w:sz w:val="20"/>
          <w:szCs w:val="20"/>
        </w:rPr>
        <w:t>)</w:t>
      </w:r>
      <w:r w:rsidRPr="001F12DF">
        <w:rPr>
          <w:i/>
          <w:iCs/>
          <w:sz w:val="20"/>
          <w:szCs w:val="20"/>
        </w:rPr>
        <w:t>, c</w:t>
      </w:r>
      <w:r w:rsidRPr="001F12DF">
        <w:rPr>
          <w:sz w:val="20"/>
          <w:szCs w:val="20"/>
        </w:rPr>
        <w:t xml:space="preserve">) e </w:t>
      </w:r>
      <w:r w:rsidRPr="001F12DF">
        <w:rPr>
          <w:i/>
          <w:iCs/>
          <w:sz w:val="20"/>
          <w:szCs w:val="20"/>
        </w:rPr>
        <w:t>d</w:t>
      </w:r>
      <w:r w:rsidRPr="001F12DF">
        <w:rPr>
          <w:sz w:val="20"/>
          <w:szCs w:val="20"/>
        </w:rPr>
        <w:t xml:space="preserve">) do n.º 1 e nos </w:t>
      </w:r>
      <w:proofErr w:type="spellStart"/>
      <w:r w:rsidRPr="001F12DF">
        <w:rPr>
          <w:sz w:val="20"/>
          <w:szCs w:val="20"/>
        </w:rPr>
        <w:t>n.os</w:t>
      </w:r>
      <w:proofErr w:type="spellEnd"/>
      <w:r w:rsidRPr="001F12DF">
        <w:rPr>
          <w:sz w:val="20"/>
          <w:szCs w:val="20"/>
        </w:rPr>
        <w:t xml:space="preserve"> 2 e 3 do artigo 57.º </w:t>
      </w:r>
    </w:p>
    <w:p w:rsidR="0082415D" w:rsidRPr="001F12DF" w:rsidRDefault="0082415D" w:rsidP="001F12DF">
      <w:pPr>
        <w:pStyle w:val="Default"/>
        <w:spacing w:line="360" w:lineRule="auto"/>
        <w:jc w:val="both"/>
        <w:rPr>
          <w:sz w:val="20"/>
          <w:szCs w:val="20"/>
        </w:rPr>
      </w:pPr>
      <w:r w:rsidRPr="001F12DF">
        <w:rPr>
          <w:sz w:val="20"/>
          <w:szCs w:val="20"/>
        </w:rPr>
        <w:t xml:space="preserve">(4) Indicar se, entretanto, ocorreu a respectiva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(5) Indicar se, entretanto, ocorreu a respectiva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(6) Declarar consoante o concorrente seja pessoa singular ou pessoa colectiva. </w:t>
      </w:r>
    </w:p>
    <w:p w:rsidR="0082415D" w:rsidRPr="001F12DF" w:rsidRDefault="0082415D" w:rsidP="001F12DF">
      <w:pPr>
        <w:pStyle w:val="Default"/>
        <w:spacing w:line="360" w:lineRule="auto"/>
        <w:jc w:val="both"/>
        <w:rPr>
          <w:sz w:val="20"/>
          <w:szCs w:val="20"/>
        </w:rPr>
      </w:pPr>
      <w:r w:rsidRPr="001F12DF">
        <w:rPr>
          <w:sz w:val="20"/>
          <w:szCs w:val="20"/>
        </w:rPr>
        <w:t xml:space="preserve">(7) Indicar se, entretanto, ocorreu a respectiva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(8) Indicar se, entretanto, ocorreu a respectiva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(9) Declarar consoante o concorrente seja pessoa singular ou pessoa colectiva. </w:t>
      </w:r>
    </w:p>
    <w:p w:rsidR="0082415D" w:rsidRPr="001F12DF" w:rsidRDefault="0082415D" w:rsidP="001F12DF">
      <w:pPr>
        <w:pStyle w:val="Default"/>
        <w:spacing w:line="360" w:lineRule="auto"/>
        <w:jc w:val="both"/>
        <w:rPr>
          <w:sz w:val="20"/>
          <w:szCs w:val="20"/>
        </w:rPr>
      </w:pPr>
      <w:r w:rsidRPr="001F12DF">
        <w:rPr>
          <w:sz w:val="20"/>
          <w:szCs w:val="20"/>
        </w:rPr>
        <w:t xml:space="preserve">(10) Declarar consoante a situação. </w:t>
      </w:r>
    </w:p>
    <w:p w:rsidR="0082415D" w:rsidRPr="001F12DF" w:rsidRDefault="0082415D" w:rsidP="001F12DF">
      <w:pPr>
        <w:pStyle w:val="Default"/>
        <w:spacing w:line="360" w:lineRule="auto"/>
        <w:jc w:val="both"/>
        <w:rPr>
          <w:sz w:val="20"/>
          <w:szCs w:val="20"/>
        </w:rPr>
      </w:pPr>
      <w:r w:rsidRPr="001F12DF">
        <w:rPr>
          <w:sz w:val="20"/>
          <w:szCs w:val="20"/>
        </w:rPr>
        <w:t xml:space="preserve">(11) Declarar consoante a situação. </w:t>
      </w:r>
    </w:p>
    <w:p w:rsidR="0082415D" w:rsidRPr="001F12DF" w:rsidRDefault="0082415D" w:rsidP="001F12DF">
      <w:pPr>
        <w:pStyle w:val="Default"/>
        <w:spacing w:line="360" w:lineRule="auto"/>
        <w:jc w:val="both"/>
        <w:rPr>
          <w:sz w:val="20"/>
          <w:szCs w:val="20"/>
        </w:rPr>
      </w:pPr>
      <w:r w:rsidRPr="001F12DF">
        <w:rPr>
          <w:sz w:val="20"/>
          <w:szCs w:val="20"/>
        </w:rPr>
        <w:t xml:space="preserve">(12) Indicar se, entretanto, decorreu o período de inabilidade fixado na decisão condenatória. </w:t>
      </w:r>
    </w:p>
    <w:p w:rsidR="0082415D" w:rsidRPr="001F12DF" w:rsidRDefault="0082415D" w:rsidP="001F12DF">
      <w:pPr>
        <w:pStyle w:val="Default"/>
        <w:spacing w:line="360" w:lineRule="auto"/>
        <w:jc w:val="both"/>
        <w:rPr>
          <w:sz w:val="20"/>
          <w:szCs w:val="20"/>
        </w:rPr>
      </w:pPr>
      <w:r w:rsidRPr="001F12DF">
        <w:rPr>
          <w:sz w:val="20"/>
          <w:szCs w:val="20"/>
        </w:rPr>
        <w:t xml:space="preserve">(13) Indicar se, entretanto, decorreu o período de inabilidade fixado na decisão condenatória. </w:t>
      </w:r>
    </w:p>
    <w:p w:rsidR="0082415D" w:rsidRPr="001F12DF" w:rsidRDefault="0082415D" w:rsidP="001F12DF">
      <w:pPr>
        <w:pStyle w:val="Default"/>
        <w:spacing w:line="360" w:lineRule="auto"/>
        <w:jc w:val="both"/>
        <w:rPr>
          <w:sz w:val="20"/>
          <w:szCs w:val="20"/>
        </w:rPr>
      </w:pPr>
      <w:r w:rsidRPr="001F12DF">
        <w:rPr>
          <w:sz w:val="20"/>
          <w:szCs w:val="20"/>
        </w:rPr>
        <w:t xml:space="preserve">(14) Declarar consoante a situação. </w:t>
      </w:r>
    </w:p>
    <w:p w:rsidR="0082415D" w:rsidRPr="001F12DF" w:rsidRDefault="0082415D" w:rsidP="001F12DF">
      <w:pPr>
        <w:pStyle w:val="Default"/>
        <w:spacing w:line="360" w:lineRule="auto"/>
        <w:jc w:val="both"/>
        <w:rPr>
          <w:sz w:val="20"/>
          <w:szCs w:val="20"/>
        </w:rPr>
      </w:pPr>
      <w:r w:rsidRPr="001F12DF">
        <w:rPr>
          <w:sz w:val="20"/>
          <w:szCs w:val="20"/>
        </w:rPr>
        <w:t xml:space="preserve">(15) Indicar se, entretanto, ocorreu a sua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(16) Indicar se, entretanto, ocorreu a sua reabilitação. </w:t>
      </w:r>
    </w:p>
    <w:p w:rsidR="0082415D" w:rsidRPr="001F12DF" w:rsidRDefault="0082415D" w:rsidP="001F12DF">
      <w:pPr>
        <w:pStyle w:val="Default"/>
        <w:spacing w:line="360" w:lineRule="auto"/>
        <w:jc w:val="both"/>
        <w:rPr>
          <w:sz w:val="20"/>
          <w:szCs w:val="20"/>
        </w:rPr>
      </w:pPr>
      <w:r w:rsidRPr="001F12DF">
        <w:rPr>
          <w:sz w:val="20"/>
          <w:szCs w:val="20"/>
        </w:rPr>
        <w:t xml:space="preserve">(17) Declarar consoante o concorrente seja pessoa singular ou pessoa colectiva. </w:t>
      </w:r>
    </w:p>
    <w:p w:rsidR="0082415D" w:rsidRPr="001F12DF" w:rsidRDefault="0082415D" w:rsidP="001F12DF">
      <w:pPr>
        <w:autoSpaceDE w:val="0"/>
        <w:autoSpaceDN w:val="0"/>
        <w:adjustRightInd w:val="0"/>
        <w:rPr>
          <w:rFonts w:cs="Arial"/>
          <w:sz w:val="20"/>
        </w:rPr>
      </w:pPr>
      <w:r w:rsidRPr="001F12DF">
        <w:rPr>
          <w:rFonts w:cs="Arial"/>
          <w:sz w:val="20"/>
        </w:rPr>
        <w:t xml:space="preserve">(18) Nos termos do disposto nos </w:t>
      </w:r>
      <w:proofErr w:type="spellStart"/>
      <w:r w:rsidRPr="001F12DF">
        <w:rPr>
          <w:rFonts w:cs="Arial"/>
          <w:sz w:val="20"/>
        </w:rPr>
        <w:t>n.os</w:t>
      </w:r>
      <w:proofErr w:type="spellEnd"/>
      <w:r w:rsidRPr="001F12DF">
        <w:rPr>
          <w:rFonts w:cs="Arial"/>
          <w:sz w:val="20"/>
        </w:rPr>
        <w:t xml:space="preserve"> 4 e 5 do artigo 57.º</w:t>
      </w:r>
    </w:p>
    <w:p w:rsidR="0082415D" w:rsidRPr="001F12DF" w:rsidRDefault="0082415D" w:rsidP="001F12DF">
      <w:pPr>
        <w:autoSpaceDE w:val="0"/>
        <w:autoSpaceDN w:val="0"/>
        <w:adjustRightInd w:val="0"/>
        <w:rPr>
          <w:rFonts w:cs="Arial"/>
          <w:sz w:val="20"/>
        </w:rPr>
      </w:pPr>
    </w:p>
    <w:sectPr w:rsidR="0082415D" w:rsidRPr="001F12DF" w:rsidSect="003C7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BEB"/>
    <w:multiLevelType w:val="hybridMultilevel"/>
    <w:tmpl w:val="92B6E9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3FC7C5C"/>
    <w:multiLevelType w:val="hybridMultilevel"/>
    <w:tmpl w:val="3A70692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EA03B4E"/>
    <w:multiLevelType w:val="hybridMultilevel"/>
    <w:tmpl w:val="6AC0BB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158E1B79"/>
    <w:multiLevelType w:val="hybridMultilevel"/>
    <w:tmpl w:val="4D0403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D4C361E"/>
    <w:multiLevelType w:val="hybridMultilevel"/>
    <w:tmpl w:val="20781764"/>
    <w:lvl w:ilvl="0" w:tplc="0816000F">
      <w:start w:val="1"/>
      <w:numFmt w:val="decimal"/>
      <w:lvlText w:val="%1."/>
      <w:lvlJc w:val="left"/>
      <w:pPr>
        <w:ind w:left="720" w:hanging="360"/>
      </w:pPr>
      <w:rPr>
        <w:rFonts w:hint="default"/>
      </w:rPr>
    </w:lvl>
    <w:lvl w:ilvl="1" w:tplc="5A24AAD4">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DBF62BC"/>
    <w:multiLevelType w:val="hybridMultilevel"/>
    <w:tmpl w:val="2AAECC74"/>
    <w:lvl w:ilvl="0" w:tplc="08160019">
      <w:start w:val="1"/>
      <w:numFmt w:val="lowerLetter"/>
      <w:lvlText w:val="%1."/>
      <w:lvlJc w:val="left"/>
      <w:pPr>
        <w:ind w:left="1146" w:hanging="360"/>
      </w:pPr>
    </w:lvl>
    <w:lvl w:ilvl="1" w:tplc="08160019">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6">
    <w:nsid w:val="24EC3986"/>
    <w:multiLevelType w:val="hybridMultilevel"/>
    <w:tmpl w:val="53D239F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28A21109"/>
    <w:multiLevelType w:val="hybridMultilevel"/>
    <w:tmpl w:val="5A724E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CD76557"/>
    <w:multiLevelType w:val="hybridMultilevel"/>
    <w:tmpl w:val="0302D07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2D734075"/>
    <w:multiLevelType w:val="hybridMultilevel"/>
    <w:tmpl w:val="1C42939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D9A2ACB"/>
    <w:multiLevelType w:val="hybridMultilevel"/>
    <w:tmpl w:val="76C85E4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379474AD"/>
    <w:multiLevelType w:val="hybridMultilevel"/>
    <w:tmpl w:val="E5EE6B0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39896D9B"/>
    <w:multiLevelType w:val="hybridMultilevel"/>
    <w:tmpl w:val="6ABE6D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AA47639"/>
    <w:multiLevelType w:val="hybridMultilevel"/>
    <w:tmpl w:val="2F9AB3A2"/>
    <w:lvl w:ilvl="0" w:tplc="177A2342">
      <w:start w:val="1"/>
      <w:numFmt w:val="bullet"/>
      <w:lvlText w:val=""/>
      <w:lvlJc w:val="left"/>
      <w:pPr>
        <w:tabs>
          <w:tab w:val="num" w:pos="720"/>
        </w:tabs>
        <w:ind w:left="720" w:hanging="360"/>
      </w:pPr>
      <w:rPr>
        <w:rFonts w:ascii="Symbol" w:hAnsi="Symbol" w:hint="default"/>
        <w:color w:val="auto"/>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3E5E5CB6"/>
    <w:multiLevelType w:val="hybridMultilevel"/>
    <w:tmpl w:val="DF485F9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5A8C7CB1"/>
    <w:multiLevelType w:val="hybridMultilevel"/>
    <w:tmpl w:val="D2E071EA"/>
    <w:lvl w:ilvl="0" w:tplc="0816000F">
      <w:start w:val="1"/>
      <w:numFmt w:val="decimal"/>
      <w:lvlText w:val="%1."/>
      <w:lvlJc w:val="left"/>
      <w:pPr>
        <w:ind w:left="720" w:hanging="360"/>
      </w:pPr>
      <w:rPr>
        <w:rFonts w:hint="default"/>
      </w:rPr>
    </w:lvl>
    <w:lvl w:ilvl="1" w:tplc="67604B1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DB11A3C"/>
    <w:multiLevelType w:val="hybridMultilevel"/>
    <w:tmpl w:val="2904F2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627E43C2"/>
    <w:multiLevelType w:val="hybridMultilevel"/>
    <w:tmpl w:val="33384AA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64375106"/>
    <w:multiLevelType w:val="hybridMultilevel"/>
    <w:tmpl w:val="E9D067E0"/>
    <w:lvl w:ilvl="0" w:tplc="08160019">
      <w:start w:val="1"/>
      <w:numFmt w:val="lowerLetter"/>
      <w:lvlText w:val="%1."/>
      <w:lvlJc w:val="left"/>
      <w:pPr>
        <w:ind w:left="720" w:hanging="360"/>
      </w:pPr>
    </w:lvl>
    <w:lvl w:ilvl="1" w:tplc="08160019">
      <w:start w:val="1"/>
      <w:numFmt w:val="lowerLetter"/>
      <w:lvlText w:val="%2."/>
      <w:lvlJc w:val="left"/>
      <w:pPr>
        <w:ind w:left="1440" w:hanging="360"/>
      </w:pPr>
    </w:lvl>
    <w:lvl w:ilvl="2" w:tplc="6160FC34">
      <w:start w:val="1"/>
      <w:numFmt w:val="decimal"/>
      <w:lvlText w:val="%3."/>
      <w:lvlJc w:val="left"/>
      <w:pPr>
        <w:ind w:left="2340" w:hanging="360"/>
      </w:pPr>
      <w:rPr>
        <w:rFonts w:hint="default"/>
      </w:r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64E906E8"/>
    <w:multiLevelType w:val="hybridMultilevel"/>
    <w:tmpl w:val="3844D41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66E81F1C"/>
    <w:multiLevelType w:val="hybridMultilevel"/>
    <w:tmpl w:val="3356D66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69634A78"/>
    <w:multiLevelType w:val="hybridMultilevel"/>
    <w:tmpl w:val="61DEDE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F851508"/>
    <w:multiLevelType w:val="hybridMultilevel"/>
    <w:tmpl w:val="21C61C4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nsid w:val="71DE309B"/>
    <w:multiLevelType w:val="hybridMultilevel"/>
    <w:tmpl w:val="E75AE6D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76CC3B5D"/>
    <w:multiLevelType w:val="hybridMultilevel"/>
    <w:tmpl w:val="214A57C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7DBC651A"/>
    <w:multiLevelType w:val="hybridMultilevel"/>
    <w:tmpl w:val="D430CB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2"/>
  </w:num>
  <w:num w:numId="2">
    <w:abstractNumId w:val="13"/>
  </w:num>
  <w:num w:numId="3">
    <w:abstractNumId w:val="2"/>
  </w:num>
  <w:num w:numId="4">
    <w:abstractNumId w:val="15"/>
  </w:num>
  <w:num w:numId="5">
    <w:abstractNumId w:val="5"/>
  </w:num>
  <w:num w:numId="6">
    <w:abstractNumId w:val="25"/>
  </w:num>
  <w:num w:numId="7">
    <w:abstractNumId w:val="24"/>
  </w:num>
  <w:num w:numId="8">
    <w:abstractNumId w:val="20"/>
  </w:num>
  <w:num w:numId="9">
    <w:abstractNumId w:val="4"/>
  </w:num>
  <w:num w:numId="10">
    <w:abstractNumId w:val="18"/>
  </w:num>
  <w:num w:numId="11">
    <w:abstractNumId w:val="7"/>
  </w:num>
  <w:num w:numId="12">
    <w:abstractNumId w:val="14"/>
  </w:num>
  <w:num w:numId="13">
    <w:abstractNumId w:val="6"/>
  </w:num>
  <w:num w:numId="14">
    <w:abstractNumId w:val="0"/>
  </w:num>
  <w:num w:numId="15">
    <w:abstractNumId w:val="11"/>
  </w:num>
  <w:num w:numId="16">
    <w:abstractNumId w:val="23"/>
  </w:num>
  <w:num w:numId="17">
    <w:abstractNumId w:val="19"/>
  </w:num>
  <w:num w:numId="18">
    <w:abstractNumId w:val="1"/>
  </w:num>
  <w:num w:numId="19">
    <w:abstractNumId w:val="21"/>
  </w:num>
  <w:num w:numId="20">
    <w:abstractNumId w:val="9"/>
  </w:num>
  <w:num w:numId="21">
    <w:abstractNumId w:val="17"/>
  </w:num>
  <w:num w:numId="22">
    <w:abstractNumId w:val="10"/>
  </w:num>
  <w:num w:numId="23">
    <w:abstractNumId w:val="16"/>
  </w:num>
  <w:num w:numId="24">
    <w:abstractNumId w:val="8"/>
  </w:num>
  <w:num w:numId="25">
    <w:abstractNumId w:val="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6B4C"/>
    <w:rsid w:val="00002342"/>
    <w:rsid w:val="00081845"/>
    <w:rsid w:val="000A3C75"/>
    <w:rsid w:val="001057F0"/>
    <w:rsid w:val="00170A45"/>
    <w:rsid w:val="001A108A"/>
    <w:rsid w:val="001B632B"/>
    <w:rsid w:val="001C6EE0"/>
    <w:rsid w:val="001F12DF"/>
    <w:rsid w:val="00236014"/>
    <w:rsid w:val="00245544"/>
    <w:rsid w:val="002A2659"/>
    <w:rsid w:val="002B4C34"/>
    <w:rsid w:val="00340A30"/>
    <w:rsid w:val="003C0291"/>
    <w:rsid w:val="003C7A2D"/>
    <w:rsid w:val="00485EFF"/>
    <w:rsid w:val="004A34AE"/>
    <w:rsid w:val="004A5F20"/>
    <w:rsid w:val="004D225D"/>
    <w:rsid w:val="004D2DE2"/>
    <w:rsid w:val="004E2CE2"/>
    <w:rsid w:val="00526431"/>
    <w:rsid w:val="00540A98"/>
    <w:rsid w:val="00563A05"/>
    <w:rsid w:val="005676EF"/>
    <w:rsid w:val="00584C44"/>
    <w:rsid w:val="005C5AB2"/>
    <w:rsid w:val="005D21BF"/>
    <w:rsid w:val="0062554F"/>
    <w:rsid w:val="006A4CB8"/>
    <w:rsid w:val="007B4A3A"/>
    <w:rsid w:val="0082415D"/>
    <w:rsid w:val="00841255"/>
    <w:rsid w:val="008C7D6E"/>
    <w:rsid w:val="008C7E65"/>
    <w:rsid w:val="008F5089"/>
    <w:rsid w:val="00953916"/>
    <w:rsid w:val="00981A56"/>
    <w:rsid w:val="009B33F0"/>
    <w:rsid w:val="009D05EA"/>
    <w:rsid w:val="009D7AAD"/>
    <w:rsid w:val="00AF3B8F"/>
    <w:rsid w:val="00B11831"/>
    <w:rsid w:val="00B46B4C"/>
    <w:rsid w:val="00B80DA7"/>
    <w:rsid w:val="00C034D6"/>
    <w:rsid w:val="00C2672A"/>
    <w:rsid w:val="00C400B3"/>
    <w:rsid w:val="00C50C38"/>
    <w:rsid w:val="00C848F7"/>
    <w:rsid w:val="00CA48B7"/>
    <w:rsid w:val="00DD0712"/>
    <w:rsid w:val="00E3170A"/>
    <w:rsid w:val="00E75683"/>
    <w:rsid w:val="00EB7696"/>
    <w:rsid w:val="00EE4C6B"/>
    <w:rsid w:val="00F70EC1"/>
    <w:rsid w:val="00FD007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EF"/>
    <w:pPr>
      <w:spacing w:after="0" w:line="360" w:lineRule="auto"/>
      <w:jc w:val="both"/>
    </w:pPr>
    <w:rPr>
      <w:rFonts w:ascii="Arial" w:eastAsia="Times New Roman" w:hAnsi="Arial" w:cs="Times New Roman"/>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46B4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5676EF"/>
    <w:pPr>
      <w:ind w:left="720"/>
      <w:contextualSpacing/>
    </w:pPr>
  </w:style>
  <w:style w:type="paragraph" w:styleId="Cabealho">
    <w:name w:val="header"/>
    <w:basedOn w:val="Normal"/>
    <w:link w:val="CabealhoCarcter"/>
    <w:uiPriority w:val="99"/>
    <w:rsid w:val="005676EF"/>
    <w:pPr>
      <w:tabs>
        <w:tab w:val="center" w:pos="4252"/>
        <w:tab w:val="right" w:pos="8504"/>
      </w:tabs>
    </w:pPr>
  </w:style>
  <w:style w:type="character" w:customStyle="1" w:styleId="CabealhoCarcter">
    <w:name w:val="Cabeçalho Carácter"/>
    <w:basedOn w:val="Tipodeletrapredefinidodopargrafo"/>
    <w:link w:val="Cabealho"/>
    <w:uiPriority w:val="99"/>
    <w:rsid w:val="005676EF"/>
    <w:rPr>
      <w:rFonts w:ascii="Arial" w:eastAsia="Times New Roman" w:hAnsi="Arial" w:cs="Times New Roman"/>
      <w:szCs w:val="20"/>
      <w:lang w:eastAsia="pt-PT"/>
    </w:rPr>
  </w:style>
  <w:style w:type="table" w:customStyle="1" w:styleId="TabelacomGrelha1">
    <w:name w:val="Tabela com Grelha1"/>
    <w:basedOn w:val="Tabelanormal"/>
    <w:next w:val="Tabelacomgrelha"/>
    <w:rsid w:val="0062554F"/>
    <w:pPr>
      <w:spacing w:after="0" w:line="360" w:lineRule="auto"/>
      <w:jc w:val="both"/>
    </w:pPr>
    <w:rPr>
      <w:rFonts w:ascii="Calibri" w:eastAsia="Times New Roman" w:hAnsi="Calibri" w:cs="Times New Roman"/>
      <w:szCs w:val="20"/>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elha">
    <w:name w:val="Table Grid"/>
    <w:basedOn w:val="Tabelanormal"/>
    <w:uiPriority w:val="39"/>
    <w:rsid w:val="00625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5429</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user</cp:lastModifiedBy>
  <cp:revision>2</cp:revision>
  <cp:lastPrinted>2019-10-11T13:41:00Z</cp:lastPrinted>
  <dcterms:created xsi:type="dcterms:W3CDTF">2019-11-14T17:28:00Z</dcterms:created>
  <dcterms:modified xsi:type="dcterms:W3CDTF">2019-11-14T17:28:00Z</dcterms:modified>
</cp:coreProperties>
</file>